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F26AE">
      <w:r>
        <w:object>
          <v:shape id="_x0000_i1025" o:spt="75" type="#_x0000_t75" style="height:81pt;width:651.6pt;" o:ole="t" filled="f" o:preferrelative="t" stroked="f" coordsize="21600,21600">
            <v:path/>
            <v:fill on="f" focussize="0,0"/>
            <v:stroke on="f"/>
            <v:imagedata r:id="rId8" o:title=""/>
            <o:lock v:ext="edit" aspectratio="t"/>
            <w10:wrap type="none"/>
            <w10:anchorlock/>
          </v:shape>
          <o:OLEObject Type="Embed" ProgID="CorelDraw.Graphic.21" ShapeID="_x0000_i1025" DrawAspect="Content" ObjectID="_1468075725" r:id="rId7">
            <o:LockedField>false</o:LockedField>
          </o:OLEObject>
        </w:object>
      </w:r>
    </w:p>
    <w:p w14:paraId="5DF78E36"/>
    <w:p w14:paraId="1874BC1A"/>
    <w:p w14:paraId="6305EB67"/>
    <w:p w14:paraId="1E6565BC"/>
    <w:p w14:paraId="226F76A0"/>
    <w:p w14:paraId="444EA701"/>
    <w:p w14:paraId="1C82D71E">
      <w:pPr>
        <w:jc w:val="center"/>
        <w:rPr>
          <w:rFonts w:hint="default" w:ascii="Arial" w:hAnsi="Arial" w:cs="Arial"/>
          <w:b/>
          <w:sz w:val="24"/>
          <w:szCs w:val="24"/>
          <w:lang w:val="pt-BR"/>
        </w:rPr>
      </w:pPr>
      <w:r>
        <w:rPr>
          <w:rFonts w:hint="default" w:ascii="Arial" w:hAnsi="Arial" w:cs="Arial"/>
          <w:b/>
          <w:sz w:val="24"/>
          <w:szCs w:val="24"/>
        </w:rPr>
        <w:t xml:space="preserve">RELATÓRIO DE </w:t>
      </w:r>
      <w:r>
        <w:rPr>
          <w:rFonts w:hint="default" w:ascii="Arial" w:hAnsi="Arial" w:cs="Arial"/>
          <w:b/>
          <w:sz w:val="24"/>
          <w:szCs w:val="24"/>
          <w:lang w:val="pt-BR"/>
        </w:rPr>
        <w:t xml:space="preserve">MONITORAMENTO </w:t>
      </w:r>
      <w:r>
        <w:rPr>
          <w:rFonts w:hint="default" w:ascii="Arial" w:hAnsi="Arial" w:cs="Arial"/>
          <w:b/>
          <w:sz w:val="24"/>
          <w:szCs w:val="24"/>
        </w:rPr>
        <w:t xml:space="preserve">DO PLANO MUNICIPAL DE EDUCAÇÃO – PME </w:t>
      </w:r>
      <w:r>
        <w:rPr>
          <w:rFonts w:hint="default" w:ascii="Arial" w:hAnsi="Arial" w:cs="Arial"/>
          <w:b/>
          <w:sz w:val="24"/>
          <w:szCs w:val="24"/>
          <w:lang w:val="pt-BR"/>
        </w:rPr>
        <w:t>DE</w:t>
      </w:r>
    </w:p>
    <w:p w14:paraId="3D2FFE42">
      <w:pPr>
        <w:jc w:val="center"/>
        <w:rPr>
          <w:rFonts w:hint="default" w:ascii="Arial" w:hAnsi="Arial" w:cs="Arial"/>
          <w:b/>
          <w:sz w:val="24"/>
          <w:szCs w:val="24"/>
        </w:rPr>
      </w:pPr>
      <w:r>
        <w:rPr>
          <w:rFonts w:hint="default" w:ascii="Arial" w:hAnsi="Arial" w:cs="Arial"/>
          <w:b/>
          <w:sz w:val="24"/>
          <w:szCs w:val="24"/>
        </w:rPr>
        <w:t>NOVA ESPERANÇA DO SUDOESTE- PR</w:t>
      </w:r>
    </w:p>
    <w:p w14:paraId="38BA3D05">
      <w:pPr>
        <w:jc w:val="center"/>
        <w:rPr>
          <w:rFonts w:hint="default" w:ascii="Arial" w:hAnsi="Arial" w:cs="Arial"/>
          <w:b/>
          <w:sz w:val="24"/>
          <w:szCs w:val="24"/>
        </w:rPr>
      </w:pPr>
      <w:r>
        <w:rPr>
          <w:rFonts w:hint="default" w:ascii="Arial" w:hAnsi="Arial" w:cs="Arial"/>
          <w:b/>
          <w:sz w:val="24"/>
          <w:szCs w:val="24"/>
        </w:rPr>
        <w:t>LEI MUNICIPAL N</w:t>
      </w:r>
      <w:r>
        <w:rPr>
          <w:rFonts w:hint="default" w:ascii="Arial" w:hAnsi="Arial" w:cs="Arial"/>
          <w:b/>
          <w:sz w:val="24"/>
          <w:szCs w:val="24"/>
          <w:u w:val="single"/>
          <w:vertAlign w:val="superscript"/>
        </w:rPr>
        <w:t>O</w:t>
      </w:r>
      <w:r>
        <w:rPr>
          <w:rFonts w:hint="default" w:ascii="Arial" w:hAnsi="Arial" w:cs="Arial"/>
          <w:b/>
          <w:sz w:val="24"/>
          <w:szCs w:val="24"/>
        </w:rPr>
        <w:t xml:space="preserve"> 865/2015</w:t>
      </w:r>
    </w:p>
    <w:p w14:paraId="005513E4">
      <w:pPr>
        <w:jc w:val="center"/>
        <w:rPr>
          <w:rFonts w:hint="default" w:ascii="Arial" w:hAnsi="Arial" w:cs="Arial"/>
          <w:b/>
          <w:sz w:val="24"/>
          <w:szCs w:val="24"/>
        </w:rPr>
      </w:pPr>
    </w:p>
    <w:p w14:paraId="017088C3">
      <w:pPr>
        <w:jc w:val="center"/>
        <w:rPr>
          <w:rFonts w:hint="default" w:ascii="Arial" w:hAnsi="Arial" w:cs="Arial"/>
          <w:b/>
          <w:sz w:val="24"/>
          <w:szCs w:val="24"/>
        </w:rPr>
      </w:pPr>
    </w:p>
    <w:p w14:paraId="2790DCC3">
      <w:pPr>
        <w:jc w:val="center"/>
        <w:rPr>
          <w:rFonts w:hint="default" w:ascii="Arial" w:hAnsi="Arial" w:cs="Arial"/>
          <w:b/>
          <w:sz w:val="24"/>
          <w:szCs w:val="24"/>
        </w:rPr>
      </w:pPr>
    </w:p>
    <w:p w14:paraId="108BC7F9">
      <w:pPr>
        <w:jc w:val="center"/>
        <w:rPr>
          <w:rFonts w:hint="default" w:ascii="Arial" w:hAnsi="Arial" w:cs="Arial"/>
          <w:b/>
          <w:sz w:val="24"/>
          <w:szCs w:val="24"/>
        </w:rPr>
      </w:pPr>
    </w:p>
    <w:p w14:paraId="031EE596">
      <w:pPr>
        <w:jc w:val="center"/>
        <w:rPr>
          <w:rFonts w:hint="default" w:ascii="Arial" w:hAnsi="Arial" w:cs="Arial"/>
          <w:b/>
          <w:sz w:val="24"/>
          <w:szCs w:val="24"/>
        </w:rPr>
      </w:pPr>
    </w:p>
    <w:p w14:paraId="5C93103F">
      <w:pPr>
        <w:jc w:val="center"/>
        <w:rPr>
          <w:rFonts w:hint="default"/>
          <w:b/>
          <w:sz w:val="24"/>
          <w:szCs w:val="24"/>
          <w:lang w:val="pt-BR"/>
        </w:rPr>
      </w:pPr>
      <w:r>
        <w:rPr>
          <w:b/>
          <w:sz w:val="24"/>
          <w:szCs w:val="24"/>
        </w:rPr>
        <w:t xml:space="preserve">NOVA ESPERANÇA DO SUDOESTE, </w:t>
      </w:r>
      <w:r>
        <w:rPr>
          <w:rFonts w:hint="default"/>
          <w:b/>
          <w:sz w:val="24"/>
          <w:szCs w:val="24"/>
          <w:lang w:val="pt-BR"/>
        </w:rPr>
        <w:t>PR</w:t>
      </w:r>
    </w:p>
    <w:p w14:paraId="67816408">
      <w:pPr>
        <w:jc w:val="center"/>
        <w:rPr>
          <w:b/>
          <w:sz w:val="24"/>
          <w:szCs w:val="24"/>
        </w:rPr>
      </w:pPr>
      <w:r>
        <w:rPr>
          <w:rFonts w:hint="default"/>
          <w:b/>
          <w:sz w:val="24"/>
          <w:szCs w:val="24"/>
          <w:lang w:val="pt-BR"/>
        </w:rPr>
        <w:t xml:space="preserve">25 DE NOVEMBRO DE </w:t>
      </w:r>
      <w:r>
        <w:rPr>
          <w:b/>
          <w:sz w:val="24"/>
          <w:szCs w:val="24"/>
        </w:rPr>
        <w:t>2024</w:t>
      </w:r>
    </w:p>
    <w:p w14:paraId="36A5FE37">
      <w:pPr>
        <w:jc w:val="center"/>
        <w:rPr>
          <w:b/>
          <w:sz w:val="24"/>
          <w:szCs w:val="24"/>
        </w:rPr>
      </w:pPr>
    </w:p>
    <w:p w14:paraId="4E469D60">
      <w:pPr>
        <w:jc w:val="center"/>
        <w:rPr>
          <w:b/>
        </w:rPr>
      </w:pPr>
    </w:p>
    <w:p w14:paraId="58FF5F02">
      <w:pPr>
        <w:rPr>
          <w:rFonts w:hint="default" w:ascii="Arial" w:hAnsi="Arial" w:cs="Arial"/>
          <w:b/>
          <w:sz w:val="24"/>
          <w:szCs w:val="24"/>
        </w:rPr>
      </w:pPr>
      <w:r>
        <w:rPr>
          <w:rFonts w:hint="default" w:ascii="Arial" w:hAnsi="Arial" w:cs="Arial"/>
          <w:b/>
          <w:sz w:val="24"/>
          <w:szCs w:val="24"/>
          <w:u w:val="single"/>
        </w:rPr>
        <w:t>DADOS DE REFERÊNCIA DO RELATÓRIO</w:t>
      </w:r>
      <w:r>
        <w:rPr>
          <w:rFonts w:hint="default" w:ascii="Arial" w:hAnsi="Arial" w:cs="Arial"/>
          <w:b/>
          <w:sz w:val="24"/>
          <w:szCs w:val="24"/>
        </w:rPr>
        <w:t xml:space="preserve"> </w:t>
      </w:r>
    </w:p>
    <w:p w14:paraId="7AD6B4E6">
      <w:pPr>
        <w:rPr>
          <w:rFonts w:hint="default" w:ascii="Arial" w:hAnsi="Arial" w:cs="Arial"/>
          <w:b/>
          <w:sz w:val="24"/>
          <w:szCs w:val="24"/>
        </w:rPr>
      </w:pPr>
      <w:r>
        <w:rPr>
          <w:rFonts w:hint="default" w:ascii="Arial" w:hAnsi="Arial" w:cs="Arial"/>
          <w:b/>
          <w:sz w:val="24"/>
          <w:szCs w:val="24"/>
        </w:rPr>
        <w:t xml:space="preserve"> </w:t>
      </w:r>
    </w:p>
    <w:p w14:paraId="58679E1A">
      <w:pPr>
        <w:rPr>
          <w:rFonts w:hint="default" w:ascii="Arial" w:hAnsi="Arial" w:cs="Arial"/>
          <w:b/>
          <w:sz w:val="24"/>
          <w:szCs w:val="24"/>
        </w:rPr>
      </w:pPr>
      <w:r>
        <w:rPr>
          <w:rFonts w:hint="default" w:ascii="Arial" w:hAnsi="Arial" w:cs="Arial"/>
          <w:b/>
          <w:sz w:val="24"/>
          <w:szCs w:val="24"/>
        </w:rPr>
        <w:t>Tipo de Relatório: (X) de Monitoramento   (  ) de Avaliação</w:t>
      </w:r>
    </w:p>
    <w:p w14:paraId="546EF1B7">
      <w:pPr>
        <w:rPr>
          <w:rFonts w:hint="default" w:ascii="Arial" w:hAnsi="Arial" w:cs="Arial"/>
          <w:sz w:val="24"/>
          <w:szCs w:val="24"/>
        </w:rPr>
      </w:pPr>
      <w:r>
        <w:rPr>
          <w:rFonts w:hint="default" w:ascii="Arial" w:hAnsi="Arial" w:cs="Arial"/>
          <w:sz w:val="24"/>
          <w:szCs w:val="24"/>
        </w:rPr>
        <w:t xml:space="preserve"> </w:t>
      </w:r>
    </w:p>
    <w:p w14:paraId="650DF574">
      <w:pPr>
        <w:rPr>
          <w:rFonts w:hint="default" w:ascii="Arial" w:hAnsi="Arial" w:cs="Arial"/>
          <w:b/>
          <w:bCs/>
          <w:sz w:val="24"/>
          <w:szCs w:val="24"/>
          <w:u w:val="single"/>
        </w:rPr>
      </w:pPr>
      <w:r>
        <w:rPr>
          <w:rFonts w:hint="default" w:ascii="Arial" w:hAnsi="Arial" w:cs="Arial"/>
          <w:b/>
          <w:bCs/>
          <w:sz w:val="24"/>
          <w:szCs w:val="24"/>
          <w:u w:val="single"/>
        </w:rPr>
        <w:t>Comissão Coordenadora – Ato legal, decreto Nº 41/ 2021</w:t>
      </w:r>
    </w:p>
    <w:p w14:paraId="07090220">
      <w:pPr>
        <w:rPr>
          <w:rFonts w:hint="default" w:ascii="Arial" w:hAnsi="Arial" w:cs="Arial"/>
          <w:sz w:val="24"/>
          <w:szCs w:val="24"/>
        </w:rPr>
      </w:pPr>
      <w:r>
        <w:rPr>
          <w:rFonts w:hint="default" w:ascii="Arial" w:hAnsi="Arial" w:cs="Arial"/>
          <w:sz w:val="24"/>
          <w:szCs w:val="24"/>
        </w:rPr>
        <w:t xml:space="preserve"> </w:t>
      </w:r>
    </w:p>
    <w:p w14:paraId="270C8E21">
      <w:pPr>
        <w:rPr>
          <w:rFonts w:hint="default" w:ascii="Arial" w:hAnsi="Arial" w:cs="Arial"/>
          <w:sz w:val="24"/>
          <w:szCs w:val="24"/>
        </w:rPr>
      </w:pPr>
      <w:r>
        <w:rPr>
          <w:rFonts w:hint="default" w:ascii="Arial" w:hAnsi="Arial" w:cs="Arial"/>
          <w:b/>
          <w:bCs/>
          <w:sz w:val="24"/>
          <w:szCs w:val="24"/>
        </w:rPr>
        <w:t>VANI BONIN</w:t>
      </w:r>
      <w:r>
        <w:rPr>
          <w:rFonts w:hint="default" w:ascii="Arial" w:hAnsi="Arial" w:cs="Arial"/>
          <w:sz w:val="24"/>
          <w:szCs w:val="24"/>
        </w:rPr>
        <w:t xml:space="preserve"> – Representante da SME</w:t>
      </w:r>
    </w:p>
    <w:p w14:paraId="54ED051C">
      <w:pPr>
        <w:rPr>
          <w:rFonts w:hint="default" w:ascii="Arial" w:hAnsi="Arial" w:cs="Arial"/>
          <w:sz w:val="24"/>
          <w:szCs w:val="24"/>
        </w:rPr>
      </w:pPr>
      <w:r>
        <w:rPr>
          <w:rFonts w:hint="default" w:ascii="Arial" w:hAnsi="Arial" w:cs="Arial"/>
          <w:sz w:val="24"/>
          <w:szCs w:val="24"/>
        </w:rPr>
        <w:t xml:space="preserve"> </w:t>
      </w:r>
    </w:p>
    <w:p w14:paraId="4D2DC053">
      <w:pPr>
        <w:rPr>
          <w:rFonts w:hint="default" w:ascii="Arial" w:hAnsi="Arial" w:cs="Arial"/>
          <w:sz w:val="24"/>
          <w:szCs w:val="24"/>
        </w:rPr>
      </w:pPr>
      <w:r>
        <w:rPr>
          <w:rFonts w:hint="default" w:ascii="Arial" w:hAnsi="Arial" w:cs="Arial"/>
          <w:b/>
          <w:bCs/>
          <w:sz w:val="24"/>
          <w:szCs w:val="24"/>
        </w:rPr>
        <w:t>VALDEMIR BOGER</w:t>
      </w:r>
      <w:r>
        <w:rPr>
          <w:rFonts w:hint="default" w:ascii="Arial" w:hAnsi="Arial" w:cs="Arial"/>
          <w:sz w:val="24"/>
          <w:szCs w:val="24"/>
        </w:rPr>
        <w:t xml:space="preserve"> – Representante do Legislativo Municipal</w:t>
      </w:r>
    </w:p>
    <w:p w14:paraId="367D217D">
      <w:pPr>
        <w:rPr>
          <w:rFonts w:hint="default" w:ascii="Arial" w:hAnsi="Arial" w:cs="Arial"/>
          <w:sz w:val="24"/>
          <w:szCs w:val="24"/>
        </w:rPr>
      </w:pPr>
      <w:r>
        <w:rPr>
          <w:rFonts w:hint="default" w:ascii="Arial" w:hAnsi="Arial" w:cs="Arial"/>
          <w:sz w:val="24"/>
          <w:szCs w:val="24"/>
        </w:rPr>
        <w:t xml:space="preserve"> </w:t>
      </w:r>
    </w:p>
    <w:p w14:paraId="1450C31B">
      <w:pPr>
        <w:rPr>
          <w:rFonts w:hint="default" w:ascii="Arial" w:hAnsi="Arial" w:cs="Arial"/>
          <w:bCs/>
          <w:sz w:val="24"/>
          <w:szCs w:val="24"/>
        </w:rPr>
      </w:pPr>
      <w:r>
        <w:rPr>
          <w:rFonts w:hint="default" w:ascii="Arial" w:hAnsi="Arial" w:cs="Arial"/>
          <w:b/>
          <w:bCs/>
          <w:sz w:val="24"/>
          <w:szCs w:val="24"/>
        </w:rPr>
        <w:t>LUCIANE MORAES BAPTISTA</w:t>
      </w:r>
      <w:r>
        <w:rPr>
          <w:rFonts w:hint="default" w:ascii="Arial" w:hAnsi="Arial" w:cs="Arial"/>
          <w:bCs/>
          <w:sz w:val="24"/>
          <w:szCs w:val="24"/>
        </w:rPr>
        <w:t xml:space="preserve"> </w:t>
      </w:r>
      <w:r>
        <w:rPr>
          <w:rFonts w:hint="default" w:ascii="Arial" w:hAnsi="Arial" w:cs="Arial"/>
          <w:sz w:val="24"/>
          <w:szCs w:val="24"/>
        </w:rPr>
        <w:t xml:space="preserve">– </w:t>
      </w:r>
      <w:r>
        <w:rPr>
          <w:rFonts w:hint="default" w:ascii="Arial" w:hAnsi="Arial" w:cs="Arial"/>
          <w:bCs/>
          <w:sz w:val="24"/>
          <w:szCs w:val="24"/>
        </w:rPr>
        <w:t>Representante dos Diretores Municipais</w:t>
      </w:r>
    </w:p>
    <w:p w14:paraId="3A31CE96">
      <w:pPr>
        <w:rPr>
          <w:rFonts w:hint="default" w:ascii="Arial" w:hAnsi="Arial" w:cs="Arial"/>
          <w:bCs/>
          <w:sz w:val="24"/>
          <w:szCs w:val="24"/>
        </w:rPr>
      </w:pPr>
      <w:r>
        <w:rPr>
          <w:rFonts w:hint="default" w:ascii="Arial" w:hAnsi="Arial" w:cs="Arial"/>
          <w:bCs/>
          <w:sz w:val="24"/>
          <w:szCs w:val="24"/>
        </w:rPr>
        <w:t xml:space="preserve"> </w:t>
      </w:r>
    </w:p>
    <w:p w14:paraId="1F873604">
      <w:pPr>
        <w:rPr>
          <w:rFonts w:hint="default" w:ascii="Arial" w:hAnsi="Arial" w:cs="Arial"/>
          <w:bCs/>
          <w:sz w:val="24"/>
          <w:szCs w:val="24"/>
        </w:rPr>
      </w:pPr>
      <w:r>
        <w:rPr>
          <w:rFonts w:hint="default" w:ascii="Arial" w:hAnsi="Arial" w:cs="Arial"/>
          <w:b/>
          <w:bCs/>
          <w:sz w:val="24"/>
          <w:szCs w:val="24"/>
        </w:rPr>
        <w:t>ROSANGELA SCHMOLLER GERHARDT</w:t>
      </w:r>
      <w:r>
        <w:rPr>
          <w:rFonts w:hint="default" w:ascii="Arial" w:hAnsi="Arial" w:cs="Arial"/>
          <w:bCs/>
          <w:sz w:val="24"/>
          <w:szCs w:val="24"/>
        </w:rPr>
        <w:t xml:space="preserve"> </w:t>
      </w:r>
      <w:r>
        <w:rPr>
          <w:rFonts w:hint="default" w:ascii="Arial" w:hAnsi="Arial" w:cs="Arial"/>
          <w:sz w:val="24"/>
          <w:szCs w:val="24"/>
        </w:rPr>
        <w:t xml:space="preserve">– </w:t>
      </w:r>
      <w:r>
        <w:rPr>
          <w:rFonts w:hint="default" w:ascii="Arial" w:hAnsi="Arial" w:cs="Arial"/>
          <w:bCs/>
          <w:sz w:val="24"/>
          <w:szCs w:val="24"/>
        </w:rPr>
        <w:t>Representante dos Professores Municipais</w:t>
      </w:r>
    </w:p>
    <w:p w14:paraId="2AEB79C6">
      <w:pPr>
        <w:rPr>
          <w:rFonts w:hint="default" w:ascii="Arial" w:hAnsi="Arial" w:cs="Arial"/>
          <w:bCs/>
          <w:sz w:val="24"/>
          <w:szCs w:val="24"/>
        </w:rPr>
      </w:pPr>
      <w:r>
        <w:rPr>
          <w:rFonts w:hint="default" w:ascii="Arial" w:hAnsi="Arial" w:cs="Arial"/>
          <w:bCs/>
          <w:sz w:val="24"/>
          <w:szCs w:val="24"/>
        </w:rPr>
        <w:t xml:space="preserve"> </w:t>
      </w:r>
    </w:p>
    <w:p w14:paraId="5426F220">
      <w:pPr>
        <w:rPr>
          <w:rFonts w:hint="default" w:ascii="Arial" w:hAnsi="Arial" w:cs="Arial"/>
          <w:sz w:val="24"/>
          <w:szCs w:val="24"/>
        </w:rPr>
      </w:pPr>
      <w:r>
        <w:rPr>
          <w:rFonts w:hint="default" w:ascii="Arial" w:hAnsi="Arial" w:cs="Arial"/>
          <w:b/>
          <w:bCs/>
          <w:sz w:val="24"/>
          <w:szCs w:val="24"/>
        </w:rPr>
        <w:t>ROZEMERI TOMÉ</w:t>
      </w:r>
      <w:r>
        <w:rPr>
          <w:rFonts w:hint="default" w:ascii="Arial" w:hAnsi="Arial" w:cs="Arial"/>
          <w:bCs/>
          <w:sz w:val="24"/>
          <w:szCs w:val="24"/>
        </w:rPr>
        <w:t xml:space="preserve"> </w:t>
      </w:r>
      <w:r>
        <w:rPr>
          <w:rFonts w:hint="default" w:ascii="Arial" w:hAnsi="Arial" w:cs="Arial"/>
          <w:sz w:val="24"/>
          <w:szCs w:val="24"/>
        </w:rPr>
        <w:t xml:space="preserve">– </w:t>
      </w:r>
      <w:r>
        <w:rPr>
          <w:rFonts w:hint="default" w:ascii="Arial" w:hAnsi="Arial" w:cs="Arial"/>
          <w:bCs/>
          <w:sz w:val="24"/>
          <w:szCs w:val="24"/>
        </w:rPr>
        <w:t>Representante</w:t>
      </w:r>
      <w:r>
        <w:rPr>
          <w:rFonts w:hint="default" w:ascii="Arial" w:hAnsi="Arial" w:cs="Arial"/>
          <w:sz w:val="24"/>
          <w:szCs w:val="24"/>
        </w:rPr>
        <w:t xml:space="preserve"> do Departamento Municipal de Assistência Social</w:t>
      </w:r>
    </w:p>
    <w:p w14:paraId="60624FC2">
      <w:pPr>
        <w:rPr>
          <w:rFonts w:hint="default" w:ascii="Arial" w:hAnsi="Arial" w:cs="Arial"/>
          <w:sz w:val="24"/>
          <w:szCs w:val="24"/>
        </w:rPr>
      </w:pPr>
    </w:p>
    <w:p w14:paraId="2524C56E">
      <w:pPr>
        <w:rPr>
          <w:rFonts w:hint="default" w:ascii="Arial" w:hAnsi="Arial" w:cs="Arial"/>
          <w:sz w:val="24"/>
          <w:szCs w:val="24"/>
        </w:rPr>
      </w:pPr>
    </w:p>
    <w:p w14:paraId="0140346E">
      <w:pPr>
        <w:rPr>
          <w:rFonts w:hint="default" w:ascii="Arial" w:hAnsi="Arial" w:cs="Arial"/>
          <w:sz w:val="24"/>
          <w:szCs w:val="24"/>
        </w:rPr>
      </w:pPr>
    </w:p>
    <w:p w14:paraId="25F1E44B">
      <w:pPr>
        <w:rPr>
          <w:rFonts w:hint="default" w:ascii="Arial" w:hAnsi="Arial" w:cs="Arial"/>
          <w:sz w:val="24"/>
          <w:szCs w:val="24"/>
        </w:rPr>
      </w:pPr>
    </w:p>
    <w:p w14:paraId="303A7E4D">
      <w:pPr>
        <w:rPr>
          <w:rFonts w:hint="default" w:ascii="Arial" w:hAnsi="Arial" w:cs="Arial"/>
          <w:sz w:val="24"/>
          <w:szCs w:val="24"/>
        </w:rPr>
      </w:pPr>
    </w:p>
    <w:p w14:paraId="5CD485E3">
      <w:pPr>
        <w:rPr>
          <w:rFonts w:hint="default" w:ascii="Arial" w:hAnsi="Arial" w:cs="Arial"/>
          <w:b/>
          <w:bCs/>
          <w:sz w:val="24"/>
          <w:szCs w:val="24"/>
          <w:u w:val="single"/>
        </w:rPr>
      </w:pPr>
      <w:r>
        <w:rPr>
          <w:rFonts w:hint="default" w:ascii="Arial" w:hAnsi="Arial" w:cs="Arial"/>
          <w:b/>
          <w:bCs/>
          <w:sz w:val="24"/>
          <w:szCs w:val="24"/>
          <w:u w:val="single"/>
        </w:rPr>
        <w:t xml:space="preserve"> Equipe Técnica – Ato Legal, Portaria Nº 145/ 2023</w:t>
      </w:r>
    </w:p>
    <w:p w14:paraId="4123B263">
      <w:pPr>
        <w:rPr>
          <w:rFonts w:hint="default" w:ascii="Arial" w:hAnsi="Arial" w:cs="Arial"/>
          <w:sz w:val="24"/>
          <w:szCs w:val="24"/>
        </w:rPr>
      </w:pPr>
      <w:r>
        <w:rPr>
          <w:rFonts w:hint="default" w:ascii="Arial" w:hAnsi="Arial" w:cs="Arial"/>
          <w:sz w:val="24"/>
          <w:szCs w:val="24"/>
        </w:rPr>
        <w:t xml:space="preserve"> </w:t>
      </w:r>
    </w:p>
    <w:p w14:paraId="275949C5">
      <w:pPr>
        <w:rPr>
          <w:rFonts w:hint="default" w:ascii="Arial" w:hAnsi="Arial" w:cs="Arial"/>
          <w:bCs/>
          <w:sz w:val="24"/>
          <w:szCs w:val="24"/>
        </w:rPr>
      </w:pPr>
      <w:r>
        <w:rPr>
          <w:rFonts w:hint="default" w:ascii="Arial" w:hAnsi="Arial" w:cs="Arial"/>
          <w:b/>
          <w:bCs/>
          <w:sz w:val="24"/>
          <w:szCs w:val="24"/>
        </w:rPr>
        <w:t>VANI BONIN</w:t>
      </w:r>
      <w:r>
        <w:rPr>
          <w:rFonts w:hint="default" w:ascii="Arial" w:hAnsi="Arial" w:cs="Arial"/>
          <w:bCs/>
          <w:sz w:val="24"/>
          <w:szCs w:val="24"/>
        </w:rPr>
        <w:t>– Representante da SME</w:t>
      </w:r>
    </w:p>
    <w:p w14:paraId="4EA4A687">
      <w:pPr>
        <w:rPr>
          <w:rFonts w:hint="default" w:ascii="Arial" w:hAnsi="Arial" w:cs="Arial"/>
          <w:bCs/>
          <w:sz w:val="24"/>
          <w:szCs w:val="24"/>
        </w:rPr>
      </w:pPr>
      <w:r>
        <w:rPr>
          <w:rFonts w:hint="default" w:ascii="Arial" w:hAnsi="Arial" w:cs="Arial"/>
          <w:bCs/>
          <w:sz w:val="24"/>
          <w:szCs w:val="24"/>
        </w:rPr>
        <w:t xml:space="preserve"> </w:t>
      </w:r>
    </w:p>
    <w:p w14:paraId="7B045DB7">
      <w:pPr>
        <w:rPr>
          <w:rFonts w:hint="default" w:ascii="Arial" w:hAnsi="Arial" w:cs="Arial"/>
          <w:bCs/>
          <w:sz w:val="24"/>
          <w:szCs w:val="24"/>
        </w:rPr>
      </w:pPr>
      <w:r>
        <w:rPr>
          <w:rFonts w:hint="default" w:ascii="Arial" w:hAnsi="Arial" w:cs="Arial"/>
          <w:b/>
          <w:bCs/>
          <w:sz w:val="24"/>
          <w:szCs w:val="24"/>
        </w:rPr>
        <w:t>EDVAR FERNANDES</w:t>
      </w:r>
      <w:r>
        <w:rPr>
          <w:rFonts w:hint="default" w:ascii="Arial" w:hAnsi="Arial" w:cs="Arial"/>
          <w:bCs/>
          <w:sz w:val="24"/>
          <w:szCs w:val="24"/>
        </w:rPr>
        <w:t xml:space="preserve"> – Representante da Área financeira do Munícipio</w:t>
      </w:r>
    </w:p>
    <w:p w14:paraId="57230E62">
      <w:pPr>
        <w:rPr>
          <w:rFonts w:hint="default" w:ascii="Arial" w:hAnsi="Arial" w:cs="Arial"/>
          <w:bCs/>
          <w:sz w:val="24"/>
          <w:szCs w:val="24"/>
        </w:rPr>
      </w:pPr>
      <w:r>
        <w:rPr>
          <w:rFonts w:hint="default" w:ascii="Arial" w:hAnsi="Arial" w:cs="Arial"/>
          <w:bCs/>
          <w:sz w:val="24"/>
          <w:szCs w:val="24"/>
        </w:rPr>
        <w:t xml:space="preserve"> </w:t>
      </w:r>
    </w:p>
    <w:p w14:paraId="7EB71121">
      <w:pPr>
        <w:rPr>
          <w:rFonts w:hint="default" w:ascii="Arial" w:hAnsi="Arial" w:cs="Arial"/>
          <w:bCs/>
          <w:sz w:val="24"/>
          <w:szCs w:val="24"/>
        </w:rPr>
      </w:pPr>
      <w:r>
        <w:rPr>
          <w:rFonts w:hint="default" w:ascii="Arial" w:hAnsi="Arial" w:cs="Arial"/>
          <w:b/>
          <w:bCs/>
          <w:sz w:val="24"/>
          <w:szCs w:val="24"/>
        </w:rPr>
        <w:t>VALDEMIR BOGER</w:t>
      </w:r>
      <w:r>
        <w:rPr>
          <w:rFonts w:hint="default" w:ascii="Arial" w:hAnsi="Arial" w:cs="Arial"/>
          <w:bCs/>
          <w:sz w:val="24"/>
          <w:szCs w:val="24"/>
        </w:rPr>
        <w:t>-  Representante do Legislativo Municipal</w:t>
      </w:r>
    </w:p>
    <w:p w14:paraId="18BAF19B">
      <w:pPr>
        <w:rPr>
          <w:rFonts w:hint="default" w:ascii="Arial" w:hAnsi="Arial" w:cs="Arial"/>
          <w:bCs/>
          <w:sz w:val="24"/>
          <w:szCs w:val="24"/>
        </w:rPr>
      </w:pPr>
      <w:r>
        <w:rPr>
          <w:rFonts w:hint="default" w:ascii="Arial" w:hAnsi="Arial" w:cs="Arial"/>
          <w:bCs/>
          <w:sz w:val="24"/>
          <w:szCs w:val="24"/>
        </w:rPr>
        <w:t xml:space="preserve"> </w:t>
      </w:r>
    </w:p>
    <w:p w14:paraId="52A2ADA4">
      <w:pPr>
        <w:rPr>
          <w:rFonts w:hint="default" w:ascii="Arial" w:hAnsi="Arial" w:cs="Arial"/>
          <w:bCs/>
          <w:sz w:val="24"/>
          <w:szCs w:val="24"/>
        </w:rPr>
      </w:pPr>
      <w:r>
        <w:rPr>
          <w:rFonts w:hint="default" w:ascii="Arial" w:hAnsi="Arial" w:cs="Arial"/>
          <w:b/>
          <w:bCs/>
          <w:sz w:val="24"/>
          <w:szCs w:val="24"/>
        </w:rPr>
        <w:t>ROSANGELA SCHMOLLER GERHARDT</w:t>
      </w:r>
      <w:r>
        <w:rPr>
          <w:rFonts w:hint="default" w:ascii="Arial" w:hAnsi="Arial" w:cs="Arial"/>
          <w:bCs/>
          <w:sz w:val="24"/>
          <w:szCs w:val="24"/>
        </w:rPr>
        <w:t xml:space="preserve"> – Representante dos Professores Municipais</w:t>
      </w:r>
    </w:p>
    <w:p w14:paraId="3EDE38C9">
      <w:pPr>
        <w:rPr>
          <w:rFonts w:hint="default" w:ascii="Arial" w:hAnsi="Arial" w:cs="Arial"/>
          <w:bCs/>
          <w:sz w:val="24"/>
          <w:szCs w:val="24"/>
        </w:rPr>
      </w:pPr>
      <w:r>
        <w:rPr>
          <w:rFonts w:hint="default" w:ascii="Arial" w:hAnsi="Arial" w:cs="Arial"/>
          <w:bCs/>
          <w:sz w:val="24"/>
          <w:szCs w:val="24"/>
        </w:rPr>
        <w:t xml:space="preserve"> </w:t>
      </w:r>
    </w:p>
    <w:p w14:paraId="00BCD083">
      <w:pPr>
        <w:rPr>
          <w:rFonts w:hint="default" w:ascii="Arial" w:hAnsi="Arial" w:cs="Arial"/>
          <w:bCs/>
          <w:sz w:val="24"/>
          <w:szCs w:val="24"/>
        </w:rPr>
      </w:pPr>
      <w:r>
        <w:rPr>
          <w:rFonts w:hint="default" w:ascii="Arial" w:hAnsi="Arial" w:cs="Arial"/>
          <w:b/>
          <w:bCs/>
          <w:sz w:val="24"/>
          <w:szCs w:val="24"/>
        </w:rPr>
        <w:t>LUCIANE MORAES BAPTISTA</w:t>
      </w:r>
      <w:r>
        <w:rPr>
          <w:rFonts w:hint="default" w:ascii="Arial" w:hAnsi="Arial" w:cs="Arial"/>
          <w:bCs/>
          <w:sz w:val="24"/>
          <w:szCs w:val="24"/>
        </w:rPr>
        <w:t xml:space="preserve"> – Representante dos Diretores das Escolas Municipais</w:t>
      </w:r>
    </w:p>
    <w:p w14:paraId="52A4F6EE">
      <w:pPr>
        <w:rPr>
          <w:rFonts w:hint="default" w:ascii="Arial" w:hAnsi="Arial" w:cs="Arial"/>
          <w:bCs/>
          <w:sz w:val="24"/>
          <w:szCs w:val="24"/>
        </w:rPr>
      </w:pPr>
      <w:r>
        <w:rPr>
          <w:rFonts w:hint="default" w:ascii="Arial" w:hAnsi="Arial" w:cs="Arial"/>
          <w:bCs/>
          <w:sz w:val="24"/>
          <w:szCs w:val="24"/>
        </w:rPr>
        <w:t xml:space="preserve"> </w:t>
      </w:r>
    </w:p>
    <w:p w14:paraId="21FAD156">
      <w:pPr>
        <w:rPr>
          <w:rFonts w:hint="default" w:ascii="Arial" w:hAnsi="Arial" w:cs="Arial"/>
          <w:bCs/>
          <w:sz w:val="24"/>
          <w:szCs w:val="24"/>
        </w:rPr>
      </w:pPr>
      <w:r>
        <w:rPr>
          <w:rFonts w:hint="default" w:ascii="Arial" w:hAnsi="Arial" w:cs="Arial"/>
          <w:b/>
          <w:bCs/>
          <w:sz w:val="24"/>
          <w:szCs w:val="24"/>
        </w:rPr>
        <w:t>AIRTON BONETTI</w:t>
      </w:r>
      <w:r>
        <w:rPr>
          <w:rFonts w:hint="default" w:ascii="Arial" w:hAnsi="Arial" w:cs="Arial"/>
          <w:bCs/>
          <w:sz w:val="24"/>
          <w:szCs w:val="24"/>
        </w:rPr>
        <w:t xml:space="preserve"> – Representante dos Professores e Diretores da Rede Estadual de Ensino</w:t>
      </w:r>
    </w:p>
    <w:p w14:paraId="3C906681">
      <w:pPr>
        <w:rPr>
          <w:rFonts w:hint="default" w:ascii="Arial" w:hAnsi="Arial" w:cs="Arial"/>
          <w:bCs/>
          <w:sz w:val="24"/>
          <w:szCs w:val="24"/>
        </w:rPr>
      </w:pPr>
      <w:r>
        <w:rPr>
          <w:rFonts w:hint="default" w:ascii="Arial" w:hAnsi="Arial" w:cs="Arial"/>
          <w:bCs/>
          <w:sz w:val="24"/>
          <w:szCs w:val="24"/>
        </w:rPr>
        <w:t xml:space="preserve"> </w:t>
      </w:r>
    </w:p>
    <w:p w14:paraId="45CE4755">
      <w:pPr>
        <w:rPr>
          <w:rFonts w:hint="default" w:ascii="Arial" w:hAnsi="Arial" w:cs="Arial"/>
          <w:bCs/>
          <w:sz w:val="24"/>
          <w:szCs w:val="24"/>
        </w:rPr>
      </w:pPr>
      <w:r>
        <w:rPr>
          <w:rFonts w:hint="default" w:ascii="Arial" w:hAnsi="Arial" w:cs="Arial"/>
          <w:b/>
          <w:bCs/>
          <w:sz w:val="24"/>
          <w:szCs w:val="24"/>
        </w:rPr>
        <w:t>MARIA GORETE FERREIRA DA SILVA</w:t>
      </w:r>
      <w:r>
        <w:rPr>
          <w:rFonts w:hint="default" w:ascii="Arial" w:hAnsi="Arial" w:cs="Arial"/>
          <w:bCs/>
          <w:sz w:val="24"/>
          <w:szCs w:val="24"/>
        </w:rPr>
        <w:t xml:space="preserve"> – Representante dos Movimentos organizados da sociedade</w:t>
      </w:r>
    </w:p>
    <w:p w14:paraId="65CD0022">
      <w:pPr>
        <w:rPr>
          <w:rFonts w:hint="default" w:ascii="Arial" w:hAnsi="Arial" w:cs="Arial"/>
          <w:bCs/>
          <w:sz w:val="24"/>
          <w:szCs w:val="24"/>
        </w:rPr>
      </w:pPr>
      <w:r>
        <w:rPr>
          <w:rFonts w:hint="default" w:ascii="Arial" w:hAnsi="Arial" w:cs="Arial"/>
          <w:bCs/>
          <w:sz w:val="24"/>
          <w:szCs w:val="24"/>
        </w:rPr>
        <w:t xml:space="preserve"> </w:t>
      </w:r>
    </w:p>
    <w:p w14:paraId="0366B2CA">
      <w:pPr>
        <w:rPr>
          <w:rFonts w:hint="default" w:ascii="Arial" w:hAnsi="Arial" w:cs="Arial"/>
          <w:bCs/>
          <w:sz w:val="24"/>
          <w:szCs w:val="24"/>
        </w:rPr>
      </w:pPr>
      <w:r>
        <w:rPr>
          <w:rFonts w:hint="default" w:ascii="Arial" w:hAnsi="Arial" w:cs="Arial"/>
          <w:b/>
          <w:bCs/>
          <w:sz w:val="24"/>
          <w:szCs w:val="24"/>
        </w:rPr>
        <w:t>ROZEMERI TOMÉ</w:t>
      </w:r>
      <w:r>
        <w:rPr>
          <w:rFonts w:hint="default" w:ascii="Arial" w:hAnsi="Arial" w:cs="Arial"/>
          <w:bCs/>
          <w:sz w:val="24"/>
          <w:szCs w:val="24"/>
        </w:rPr>
        <w:t xml:space="preserve"> – Representante do Departamento de Assistência Social </w:t>
      </w:r>
    </w:p>
    <w:p w14:paraId="27DEFF16">
      <w:pPr>
        <w:rPr>
          <w:rFonts w:hint="default" w:ascii="Arial" w:hAnsi="Arial" w:cs="Arial"/>
          <w:bCs/>
          <w:sz w:val="24"/>
          <w:szCs w:val="24"/>
        </w:rPr>
      </w:pPr>
      <w:r>
        <w:rPr>
          <w:rFonts w:hint="default" w:ascii="Arial" w:hAnsi="Arial" w:cs="Arial"/>
          <w:bCs/>
          <w:sz w:val="24"/>
          <w:szCs w:val="24"/>
        </w:rPr>
        <w:t xml:space="preserve"> </w:t>
      </w:r>
    </w:p>
    <w:p w14:paraId="384DD6AB">
      <w:pPr>
        <w:rPr>
          <w:rFonts w:hint="default" w:ascii="Arial" w:hAnsi="Arial" w:cs="Arial"/>
          <w:bCs/>
          <w:sz w:val="24"/>
          <w:szCs w:val="24"/>
        </w:rPr>
      </w:pPr>
      <w:r>
        <w:rPr>
          <w:rFonts w:hint="default" w:ascii="Arial" w:hAnsi="Arial" w:cs="Arial"/>
          <w:b/>
          <w:bCs/>
          <w:sz w:val="24"/>
          <w:szCs w:val="24"/>
        </w:rPr>
        <w:t>LIANE KUCHELLER</w:t>
      </w:r>
      <w:r>
        <w:rPr>
          <w:rFonts w:hint="default" w:ascii="Arial" w:hAnsi="Arial" w:cs="Arial"/>
          <w:bCs/>
          <w:sz w:val="24"/>
          <w:szCs w:val="24"/>
        </w:rPr>
        <w:t xml:space="preserve"> – Representante do Conselho Tutelar</w:t>
      </w:r>
    </w:p>
    <w:p w14:paraId="1FB3C596">
      <w:pPr>
        <w:rPr>
          <w:rFonts w:hint="default" w:ascii="Arial" w:hAnsi="Arial" w:cs="Arial"/>
          <w:bCs/>
          <w:sz w:val="24"/>
          <w:szCs w:val="24"/>
        </w:rPr>
      </w:pPr>
      <w:r>
        <w:rPr>
          <w:rFonts w:hint="default" w:ascii="Arial" w:hAnsi="Arial" w:cs="Arial"/>
          <w:bCs/>
          <w:sz w:val="24"/>
          <w:szCs w:val="24"/>
        </w:rPr>
        <w:t xml:space="preserve"> </w:t>
      </w:r>
    </w:p>
    <w:p w14:paraId="64F53346">
      <w:pPr>
        <w:rPr>
          <w:rFonts w:hint="default" w:ascii="Arial" w:hAnsi="Arial" w:cs="Arial"/>
          <w:bCs/>
          <w:sz w:val="24"/>
          <w:szCs w:val="24"/>
        </w:rPr>
      </w:pPr>
      <w:r>
        <w:rPr>
          <w:rFonts w:hint="default" w:ascii="Arial" w:hAnsi="Arial" w:cs="Arial"/>
          <w:b/>
          <w:bCs/>
          <w:sz w:val="24"/>
          <w:szCs w:val="24"/>
        </w:rPr>
        <w:t>ROSEMAR ZANCHETA</w:t>
      </w:r>
      <w:r>
        <w:rPr>
          <w:rFonts w:hint="default" w:ascii="Arial" w:hAnsi="Arial" w:cs="Arial"/>
          <w:bCs/>
          <w:sz w:val="24"/>
          <w:szCs w:val="24"/>
        </w:rPr>
        <w:t xml:space="preserve"> – Representante dos Conselhos Escolares das Escolas municipais.</w:t>
      </w:r>
    </w:p>
    <w:p w14:paraId="68C62636">
      <w:pPr>
        <w:rPr>
          <w:rFonts w:hint="default" w:ascii="Arial" w:hAnsi="Arial" w:cs="Arial"/>
          <w:bCs/>
          <w:sz w:val="24"/>
          <w:szCs w:val="24"/>
        </w:rPr>
      </w:pPr>
    </w:p>
    <w:p w14:paraId="092C91AC">
      <w:pPr>
        <w:rPr>
          <w:bCs/>
        </w:rPr>
      </w:pPr>
      <w:r>
        <w:rPr>
          <w:bCs/>
        </w:rPr>
        <w:t xml:space="preserve"> </w:t>
      </w:r>
      <w:r>
        <w:object>
          <v:shape id="_x0000_i1026" o:spt="75" type="#_x0000_t75" style="height:81pt;width:646.1pt;" o:ole="t" filled="f" o:preferrelative="t" stroked="f" coordsize="21600,21600">
            <v:path/>
            <v:fill on="f" focussize="0,0"/>
            <v:stroke on="f"/>
            <v:imagedata r:id="rId8" o:title=""/>
            <o:lock v:ext="edit" aspectratio="t"/>
            <w10:wrap type="none"/>
            <w10:anchorlock/>
          </v:shape>
          <o:OLEObject Type="Embed" ProgID="CorelDraw.Graphic.21" ShapeID="_x0000_i1026" DrawAspect="Content" ObjectID="_1468075726" r:id="rId9">
            <o:LockedField>false</o:LockedField>
          </o:OLEObject>
        </w:object>
      </w:r>
    </w:p>
    <w:p w14:paraId="7EBECD6A">
      <w:pPr>
        <w:rPr>
          <w:rFonts w:hint="default" w:ascii="Arial" w:hAnsi="Arial" w:cs="Arial"/>
          <w:b/>
          <w:sz w:val="24"/>
          <w:szCs w:val="24"/>
        </w:rPr>
      </w:pPr>
      <w:r>
        <w:rPr>
          <w:b/>
        </w:rPr>
        <w:t xml:space="preserve"> </w:t>
      </w:r>
      <w:r>
        <w:rPr>
          <w:rFonts w:hint="default" w:ascii="Arial" w:hAnsi="Arial" w:cs="Arial"/>
          <w:b/>
          <w:sz w:val="24"/>
          <w:szCs w:val="24"/>
        </w:rPr>
        <w:t xml:space="preserve">SUMÁRIO: </w:t>
      </w:r>
    </w:p>
    <w:p w14:paraId="46E73CAE">
      <w:pPr>
        <w:rPr>
          <w:rFonts w:hint="default" w:ascii="Arial" w:hAnsi="Arial" w:cs="Arial"/>
          <w:b/>
          <w:sz w:val="24"/>
          <w:szCs w:val="24"/>
          <w:lang w:val="pt-BR"/>
        </w:rPr>
      </w:pPr>
      <w:r>
        <w:rPr>
          <w:rFonts w:hint="default" w:ascii="Arial" w:hAnsi="Arial" w:cs="Arial"/>
          <w:b/>
          <w:sz w:val="24"/>
          <w:szCs w:val="24"/>
        </w:rPr>
        <w:t>APRESENTAÇÃO:...............................................................................................................................................................0</w:t>
      </w:r>
      <w:r>
        <w:rPr>
          <w:rFonts w:hint="default" w:ascii="Arial" w:hAnsi="Arial" w:cs="Arial"/>
          <w:b/>
          <w:sz w:val="24"/>
          <w:szCs w:val="24"/>
          <w:lang w:val="pt-BR"/>
        </w:rPr>
        <w:t>7</w:t>
      </w:r>
    </w:p>
    <w:p w14:paraId="17EFFA55">
      <w:pPr>
        <w:rPr>
          <w:rFonts w:hint="default" w:ascii="Arial" w:hAnsi="Arial" w:cs="Arial"/>
          <w:b/>
          <w:sz w:val="24"/>
          <w:szCs w:val="24"/>
          <w:lang w:val="pt-BR"/>
        </w:rPr>
      </w:pPr>
      <w:r>
        <w:rPr>
          <w:rFonts w:hint="default" w:ascii="Arial" w:hAnsi="Arial" w:cs="Arial"/>
          <w:b/>
          <w:sz w:val="24"/>
          <w:szCs w:val="24"/>
        </w:rPr>
        <w:t>1.COMPORTAMENTO DAS METAS NO PERÍODO/ META</w:t>
      </w:r>
      <w:r>
        <w:rPr>
          <w:rFonts w:hint="default" w:ascii="Arial" w:hAnsi="Arial" w:cs="Arial"/>
          <w:b/>
          <w:sz w:val="24"/>
          <w:szCs w:val="24"/>
          <w:lang w:val="pt-BR"/>
        </w:rPr>
        <w:t xml:space="preserve"> </w:t>
      </w:r>
      <w:r>
        <w:rPr>
          <w:rFonts w:hint="default" w:ascii="Arial" w:hAnsi="Arial" w:cs="Arial"/>
          <w:b/>
          <w:sz w:val="24"/>
          <w:szCs w:val="24"/>
        </w:rPr>
        <w:t xml:space="preserve"> 01................................</w:t>
      </w:r>
      <w:r>
        <w:rPr>
          <w:rFonts w:hint="default" w:ascii="Arial" w:hAnsi="Arial" w:cs="Arial"/>
          <w:b/>
          <w:sz w:val="24"/>
          <w:szCs w:val="24"/>
          <w:lang w:val="pt-BR"/>
        </w:rPr>
        <w:t>......</w:t>
      </w:r>
      <w:r>
        <w:rPr>
          <w:rFonts w:hint="default" w:ascii="Arial" w:hAnsi="Arial" w:cs="Arial"/>
          <w:b/>
          <w:sz w:val="24"/>
          <w:szCs w:val="24"/>
        </w:rPr>
        <w:t>...................................................0</w:t>
      </w:r>
      <w:r>
        <w:rPr>
          <w:rFonts w:hint="default" w:ascii="Arial" w:hAnsi="Arial" w:cs="Arial"/>
          <w:b/>
          <w:sz w:val="24"/>
          <w:szCs w:val="24"/>
          <w:lang w:val="pt-BR"/>
        </w:rPr>
        <w:t>8</w:t>
      </w:r>
    </w:p>
    <w:p w14:paraId="1FEAFF41">
      <w:pPr>
        <w:rPr>
          <w:rFonts w:hint="default" w:ascii="Arial" w:hAnsi="Arial" w:cs="Arial"/>
          <w:sz w:val="24"/>
          <w:szCs w:val="24"/>
          <w:lang w:val="pt-BR"/>
        </w:rPr>
      </w:pPr>
      <w:r>
        <w:rPr>
          <w:rFonts w:hint="default" w:ascii="Arial" w:hAnsi="Arial" w:cs="Arial"/>
          <w:sz w:val="24"/>
          <w:szCs w:val="24"/>
        </w:rPr>
        <w:t>1.1 FICHA METODOLÓGICA DOS INDICADORES MUNICIPAIS:..............</w:t>
      </w:r>
      <w:r>
        <w:rPr>
          <w:rFonts w:hint="default" w:ascii="Arial" w:hAnsi="Arial" w:cs="Arial"/>
          <w:sz w:val="24"/>
          <w:szCs w:val="24"/>
          <w:lang w:val="pt-BR"/>
        </w:rPr>
        <w:t>.</w:t>
      </w:r>
      <w:r>
        <w:rPr>
          <w:rFonts w:hint="default" w:ascii="Arial" w:hAnsi="Arial" w:cs="Arial"/>
          <w:sz w:val="24"/>
          <w:szCs w:val="24"/>
        </w:rPr>
        <w:t>.......................................................................0</w:t>
      </w:r>
      <w:r>
        <w:rPr>
          <w:rFonts w:hint="default" w:ascii="Arial" w:hAnsi="Arial" w:cs="Arial"/>
          <w:sz w:val="24"/>
          <w:szCs w:val="24"/>
          <w:lang w:val="pt-BR"/>
        </w:rPr>
        <w:t>8</w:t>
      </w:r>
    </w:p>
    <w:p w14:paraId="65A35E89">
      <w:pPr>
        <w:rPr>
          <w:rFonts w:hint="default" w:ascii="Arial" w:hAnsi="Arial" w:cs="Arial"/>
          <w:sz w:val="24"/>
          <w:szCs w:val="24"/>
          <w:lang w:val="pt-BR"/>
        </w:rPr>
      </w:pPr>
      <w:r>
        <w:rPr>
          <w:rFonts w:hint="default" w:ascii="Arial" w:hAnsi="Arial" w:cs="Arial"/>
          <w:sz w:val="24"/>
          <w:szCs w:val="24"/>
        </w:rPr>
        <w:t>1.2 COMPORTAMENTO DOS INDICADORES DO PERÍODO:........................</w:t>
      </w:r>
      <w:r>
        <w:rPr>
          <w:rFonts w:hint="default" w:ascii="Arial" w:hAnsi="Arial" w:cs="Arial"/>
          <w:sz w:val="24"/>
          <w:szCs w:val="24"/>
          <w:lang w:val="pt-BR"/>
        </w:rPr>
        <w:t>.</w:t>
      </w:r>
      <w:r>
        <w:rPr>
          <w:rFonts w:hint="default" w:ascii="Arial" w:hAnsi="Arial" w:cs="Arial"/>
          <w:sz w:val="24"/>
          <w:szCs w:val="24"/>
        </w:rPr>
        <w:t>..................................................................0</w:t>
      </w:r>
      <w:r>
        <w:rPr>
          <w:rFonts w:hint="default" w:ascii="Arial" w:hAnsi="Arial" w:cs="Arial"/>
          <w:sz w:val="24"/>
          <w:szCs w:val="24"/>
          <w:lang w:val="pt-BR"/>
        </w:rPr>
        <w:t>9</w:t>
      </w:r>
    </w:p>
    <w:p w14:paraId="1F11B47B">
      <w:pPr>
        <w:rPr>
          <w:rFonts w:hint="default" w:ascii="Arial" w:hAnsi="Arial" w:cs="Arial"/>
          <w:b/>
          <w:sz w:val="24"/>
          <w:szCs w:val="24"/>
          <w:lang w:val="pt-BR"/>
        </w:rPr>
      </w:pPr>
      <w:r>
        <w:rPr>
          <w:rFonts w:hint="default" w:ascii="Arial" w:hAnsi="Arial" w:cs="Arial"/>
          <w:b/>
          <w:sz w:val="24"/>
          <w:szCs w:val="24"/>
        </w:rPr>
        <w:t>META 02:..............................................................................................................................................................................</w:t>
      </w:r>
      <w:r>
        <w:rPr>
          <w:rFonts w:hint="default" w:ascii="Arial" w:hAnsi="Arial" w:cs="Arial"/>
          <w:b/>
          <w:sz w:val="24"/>
          <w:szCs w:val="24"/>
          <w:lang w:val="pt-BR"/>
        </w:rPr>
        <w:t>12</w:t>
      </w:r>
    </w:p>
    <w:p w14:paraId="347E245C">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12</w:t>
      </w:r>
    </w:p>
    <w:p w14:paraId="567F71E9">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13</w:t>
      </w:r>
    </w:p>
    <w:p w14:paraId="3915CA2B">
      <w:pPr>
        <w:rPr>
          <w:rFonts w:hint="default" w:ascii="Arial" w:hAnsi="Arial" w:cs="Arial"/>
          <w:b/>
          <w:sz w:val="24"/>
          <w:szCs w:val="24"/>
          <w:lang w:val="pt-BR"/>
        </w:rPr>
      </w:pPr>
      <w:r>
        <w:rPr>
          <w:rFonts w:hint="default" w:ascii="Arial" w:hAnsi="Arial" w:cs="Arial"/>
          <w:b/>
          <w:sz w:val="24"/>
          <w:szCs w:val="24"/>
        </w:rPr>
        <w:t>META 03:.......</w:t>
      </w:r>
      <w:r>
        <w:rPr>
          <w:rFonts w:hint="default" w:ascii="Arial" w:hAnsi="Arial" w:cs="Arial"/>
          <w:b/>
          <w:sz w:val="24"/>
          <w:szCs w:val="24"/>
          <w:lang w:val="pt-BR"/>
        </w:rPr>
        <w:t>.</w:t>
      </w:r>
      <w:r>
        <w:rPr>
          <w:rFonts w:hint="default" w:ascii="Arial" w:hAnsi="Arial" w:cs="Arial"/>
          <w:b/>
          <w:sz w:val="24"/>
          <w:szCs w:val="24"/>
        </w:rPr>
        <w:t>......................................................................................................................................................................1</w:t>
      </w:r>
      <w:r>
        <w:rPr>
          <w:rFonts w:hint="default" w:ascii="Arial" w:hAnsi="Arial" w:cs="Arial"/>
          <w:b/>
          <w:sz w:val="24"/>
          <w:szCs w:val="24"/>
          <w:lang w:val="pt-BR"/>
        </w:rPr>
        <w:t>4</w:t>
      </w:r>
    </w:p>
    <w:p w14:paraId="5DDB9F21">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......................................................................1</w:t>
      </w:r>
      <w:r>
        <w:rPr>
          <w:rFonts w:hint="default" w:ascii="Arial" w:hAnsi="Arial" w:cs="Arial"/>
          <w:sz w:val="24"/>
          <w:szCs w:val="24"/>
          <w:lang w:val="pt-BR"/>
        </w:rPr>
        <w:t>4</w:t>
      </w:r>
    </w:p>
    <w:p w14:paraId="26BAE0E3">
      <w:pPr>
        <w:rPr>
          <w:rFonts w:hint="default" w:ascii="Arial" w:hAnsi="Arial" w:cs="Arial"/>
          <w:sz w:val="24"/>
          <w:szCs w:val="24"/>
          <w:lang w:val="pt-BR"/>
        </w:rPr>
      </w:pPr>
      <w:r>
        <w:rPr>
          <w:rFonts w:hint="default" w:ascii="Arial" w:hAnsi="Arial" w:cs="Arial"/>
          <w:sz w:val="24"/>
          <w:szCs w:val="24"/>
        </w:rPr>
        <w:t>COMPORTAMENTO DOS INDICADORES DO PERÍODO:.................................................................................................1</w:t>
      </w:r>
      <w:r>
        <w:rPr>
          <w:rFonts w:hint="default" w:ascii="Arial" w:hAnsi="Arial" w:cs="Arial"/>
          <w:sz w:val="24"/>
          <w:szCs w:val="24"/>
          <w:lang w:val="pt-BR"/>
        </w:rPr>
        <w:t>5</w:t>
      </w:r>
    </w:p>
    <w:p w14:paraId="3AA47437">
      <w:pPr>
        <w:rPr>
          <w:rFonts w:hint="default" w:ascii="Arial" w:hAnsi="Arial" w:cs="Arial"/>
          <w:b/>
          <w:sz w:val="24"/>
          <w:szCs w:val="24"/>
          <w:lang w:val="pt-BR"/>
        </w:rPr>
      </w:pPr>
      <w:r>
        <w:rPr>
          <w:rFonts w:hint="default" w:ascii="Arial" w:hAnsi="Arial" w:cs="Arial"/>
          <w:b/>
          <w:sz w:val="24"/>
          <w:szCs w:val="24"/>
        </w:rPr>
        <w:t>META 04:...........................................................</w:t>
      </w:r>
      <w:r>
        <w:rPr>
          <w:rFonts w:hint="default" w:ascii="Arial" w:hAnsi="Arial" w:cs="Arial"/>
          <w:b/>
          <w:sz w:val="24"/>
          <w:szCs w:val="24"/>
          <w:lang w:val="pt-BR"/>
        </w:rPr>
        <w:t>.</w:t>
      </w:r>
      <w:r>
        <w:rPr>
          <w:rFonts w:hint="default" w:ascii="Arial" w:hAnsi="Arial" w:cs="Arial"/>
          <w:b/>
          <w:sz w:val="24"/>
          <w:szCs w:val="24"/>
        </w:rPr>
        <w:t>..................................................................................................................1</w:t>
      </w:r>
      <w:r>
        <w:rPr>
          <w:rFonts w:hint="default" w:ascii="Arial" w:hAnsi="Arial" w:cs="Arial"/>
          <w:b/>
          <w:sz w:val="24"/>
          <w:szCs w:val="24"/>
          <w:lang w:val="pt-BR"/>
        </w:rPr>
        <w:t>8</w:t>
      </w:r>
    </w:p>
    <w:p w14:paraId="18070E1B">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.................................1</w:t>
      </w:r>
      <w:r>
        <w:rPr>
          <w:rFonts w:hint="default" w:ascii="Arial" w:hAnsi="Arial" w:cs="Arial"/>
          <w:sz w:val="24"/>
          <w:szCs w:val="24"/>
          <w:lang w:val="pt-BR"/>
        </w:rPr>
        <w:t>8</w:t>
      </w:r>
    </w:p>
    <w:p w14:paraId="37547448">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20</w:t>
      </w:r>
    </w:p>
    <w:p w14:paraId="0C8374C3">
      <w:pPr>
        <w:rPr>
          <w:rFonts w:hint="default" w:ascii="Arial" w:hAnsi="Arial" w:cs="Arial"/>
          <w:b/>
          <w:sz w:val="24"/>
          <w:szCs w:val="24"/>
          <w:lang w:val="pt-BR"/>
        </w:rPr>
      </w:pPr>
      <w:r>
        <w:rPr>
          <w:rFonts w:hint="default" w:ascii="Arial" w:hAnsi="Arial" w:cs="Arial"/>
          <w:b/>
          <w:sz w:val="24"/>
          <w:szCs w:val="24"/>
        </w:rPr>
        <w:t>META 05:...........................................................................</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22</w:t>
      </w:r>
    </w:p>
    <w:p w14:paraId="5DB86868">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22</w:t>
      </w:r>
    </w:p>
    <w:p w14:paraId="6236DF1B">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22</w:t>
      </w:r>
    </w:p>
    <w:p w14:paraId="68B65C6A">
      <w:pPr>
        <w:rPr>
          <w:rFonts w:hint="default" w:ascii="Arial" w:hAnsi="Arial" w:cs="Arial"/>
          <w:b/>
          <w:sz w:val="24"/>
          <w:szCs w:val="24"/>
          <w:lang w:val="pt-BR"/>
        </w:rPr>
      </w:pPr>
      <w:r>
        <w:rPr>
          <w:rFonts w:hint="default" w:ascii="Arial" w:hAnsi="Arial" w:cs="Arial"/>
          <w:b/>
          <w:sz w:val="24"/>
          <w:szCs w:val="24"/>
        </w:rPr>
        <w:t>META 06:...........................</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25</w:t>
      </w:r>
    </w:p>
    <w:p w14:paraId="3D6E1207">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25</w:t>
      </w:r>
    </w:p>
    <w:p w14:paraId="32DE8E6F">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26</w:t>
      </w:r>
    </w:p>
    <w:p w14:paraId="6DA5AAC7">
      <w:pPr>
        <w:rPr>
          <w:rFonts w:hint="default" w:ascii="Arial" w:hAnsi="Arial" w:cs="Arial"/>
          <w:b/>
          <w:sz w:val="24"/>
          <w:szCs w:val="24"/>
          <w:lang w:val="pt-BR"/>
        </w:rPr>
      </w:pPr>
      <w:r>
        <w:rPr>
          <w:rFonts w:hint="default" w:ascii="Arial" w:hAnsi="Arial" w:cs="Arial"/>
          <w:b/>
          <w:sz w:val="24"/>
          <w:szCs w:val="24"/>
        </w:rPr>
        <w:t>META 07:..............................................................................................................................................................................</w:t>
      </w:r>
      <w:r>
        <w:rPr>
          <w:rFonts w:hint="default" w:ascii="Arial" w:hAnsi="Arial" w:cs="Arial"/>
          <w:b/>
          <w:sz w:val="24"/>
          <w:szCs w:val="24"/>
          <w:lang w:val="pt-BR"/>
        </w:rPr>
        <w:t>28</w:t>
      </w:r>
    </w:p>
    <w:p w14:paraId="314006FF">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28</w:t>
      </w:r>
    </w:p>
    <w:p w14:paraId="0A9E96EC">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29</w:t>
      </w:r>
    </w:p>
    <w:p w14:paraId="791A805F">
      <w:pPr>
        <w:rPr>
          <w:rFonts w:hint="default" w:ascii="Arial" w:hAnsi="Arial" w:cs="Arial"/>
          <w:b/>
          <w:sz w:val="24"/>
          <w:szCs w:val="24"/>
          <w:lang w:val="pt-BR"/>
        </w:rPr>
      </w:pPr>
      <w:r>
        <w:rPr>
          <w:rFonts w:hint="default" w:ascii="Arial" w:hAnsi="Arial" w:cs="Arial"/>
          <w:b/>
          <w:sz w:val="24"/>
          <w:szCs w:val="24"/>
        </w:rPr>
        <w:t>META 08:............................................</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31</w:t>
      </w:r>
    </w:p>
    <w:p w14:paraId="0F232BAC">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31</w:t>
      </w:r>
    </w:p>
    <w:p w14:paraId="1A07C24E">
      <w:pPr>
        <w:rPr>
          <w:rFonts w:hint="default" w:ascii="Arial" w:hAnsi="Arial" w:cs="Arial"/>
          <w:b/>
          <w:sz w:val="24"/>
          <w:szCs w:val="24"/>
          <w:lang w:val="pt-BR"/>
        </w:rPr>
      </w:pPr>
      <w:r>
        <w:rPr>
          <w:rFonts w:hint="default" w:ascii="Arial" w:hAnsi="Arial" w:cs="Arial"/>
          <w:b/>
          <w:sz w:val="24"/>
          <w:szCs w:val="24"/>
        </w:rPr>
        <w:t>META 09:.......</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35</w:t>
      </w:r>
    </w:p>
    <w:p w14:paraId="04A5E881">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35</w:t>
      </w:r>
    </w:p>
    <w:p w14:paraId="4F4D9AF2">
      <w:pPr>
        <w:rPr>
          <w:rFonts w:hint="default" w:ascii="Arial" w:hAnsi="Arial" w:cs="Arial"/>
          <w:b/>
          <w:sz w:val="24"/>
          <w:szCs w:val="24"/>
          <w:lang w:val="pt-BR"/>
        </w:rPr>
      </w:pPr>
      <w:r>
        <w:rPr>
          <w:rFonts w:hint="default" w:ascii="Arial" w:hAnsi="Arial" w:cs="Arial"/>
          <w:b/>
          <w:sz w:val="24"/>
          <w:szCs w:val="24"/>
        </w:rPr>
        <w:t>META 10:........................</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36</w:t>
      </w:r>
    </w:p>
    <w:p w14:paraId="2D2A0124">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36</w:t>
      </w:r>
    </w:p>
    <w:p w14:paraId="7A83715B">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37</w:t>
      </w:r>
    </w:p>
    <w:p w14:paraId="25ECAA45">
      <w:pPr>
        <w:rPr>
          <w:rFonts w:hint="default" w:ascii="Arial" w:hAnsi="Arial" w:cs="Arial"/>
          <w:b/>
          <w:sz w:val="24"/>
          <w:szCs w:val="24"/>
          <w:lang w:val="pt-BR"/>
        </w:rPr>
      </w:pPr>
      <w:r>
        <w:rPr>
          <w:rFonts w:hint="default" w:ascii="Arial" w:hAnsi="Arial" w:cs="Arial"/>
          <w:b/>
          <w:sz w:val="24"/>
          <w:szCs w:val="24"/>
        </w:rPr>
        <w:t>META 11:...........................................................</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37</w:t>
      </w:r>
    </w:p>
    <w:p w14:paraId="6F31BC27">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37</w:t>
      </w:r>
    </w:p>
    <w:p w14:paraId="1A180689">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38</w:t>
      </w:r>
    </w:p>
    <w:p w14:paraId="4603A893">
      <w:pPr>
        <w:rPr>
          <w:rFonts w:hint="default" w:ascii="Arial" w:hAnsi="Arial" w:cs="Arial"/>
          <w:b/>
          <w:sz w:val="24"/>
          <w:szCs w:val="24"/>
          <w:lang w:val="pt-BR"/>
        </w:rPr>
      </w:pPr>
      <w:r>
        <w:rPr>
          <w:rFonts w:hint="default" w:ascii="Arial" w:hAnsi="Arial" w:cs="Arial"/>
          <w:b/>
          <w:sz w:val="24"/>
          <w:szCs w:val="24"/>
        </w:rPr>
        <w:t>META 12:..............................................................................................................................................................................</w:t>
      </w:r>
      <w:r>
        <w:rPr>
          <w:rFonts w:hint="default" w:ascii="Arial" w:hAnsi="Arial" w:cs="Arial"/>
          <w:b/>
          <w:sz w:val="24"/>
          <w:szCs w:val="24"/>
          <w:lang w:val="pt-BR"/>
        </w:rPr>
        <w:t>41</w:t>
      </w:r>
    </w:p>
    <w:p w14:paraId="6B2B73AC">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41</w:t>
      </w:r>
    </w:p>
    <w:p w14:paraId="07CE805A">
      <w:pPr>
        <w:rPr>
          <w:rFonts w:hint="default" w:ascii="Arial" w:hAnsi="Arial" w:cs="Arial"/>
          <w:b/>
          <w:sz w:val="24"/>
          <w:szCs w:val="24"/>
          <w:lang w:val="pt-BR"/>
        </w:rPr>
      </w:pPr>
      <w:r>
        <w:rPr>
          <w:rFonts w:hint="default" w:ascii="Arial" w:hAnsi="Arial" w:cs="Arial"/>
          <w:b/>
          <w:sz w:val="24"/>
          <w:szCs w:val="24"/>
        </w:rPr>
        <w:t>META 13:..............................................................................................................................................................................</w:t>
      </w:r>
      <w:r>
        <w:rPr>
          <w:rFonts w:hint="default" w:ascii="Arial" w:hAnsi="Arial" w:cs="Arial"/>
          <w:b/>
          <w:sz w:val="24"/>
          <w:szCs w:val="24"/>
          <w:lang w:val="pt-BR"/>
        </w:rPr>
        <w:t>43</w:t>
      </w:r>
    </w:p>
    <w:p w14:paraId="3AF46AE4">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43</w:t>
      </w:r>
    </w:p>
    <w:p w14:paraId="7057E190">
      <w:pPr>
        <w:rPr>
          <w:rFonts w:hint="default" w:ascii="Arial" w:hAnsi="Arial" w:cs="Arial"/>
          <w:b/>
          <w:sz w:val="24"/>
          <w:szCs w:val="24"/>
          <w:lang w:val="pt-BR"/>
        </w:rPr>
      </w:pPr>
      <w:r>
        <w:rPr>
          <w:rFonts w:hint="default" w:ascii="Arial" w:hAnsi="Arial" w:cs="Arial"/>
          <w:b/>
          <w:sz w:val="24"/>
          <w:szCs w:val="24"/>
        </w:rPr>
        <w:t>META 14:..........................................</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45</w:t>
      </w:r>
    </w:p>
    <w:p w14:paraId="37906238">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45</w:t>
      </w:r>
    </w:p>
    <w:p w14:paraId="67F3497A">
      <w:pPr>
        <w:rPr>
          <w:rFonts w:hint="default" w:ascii="Arial" w:hAnsi="Arial" w:cs="Arial"/>
          <w:b/>
          <w:sz w:val="24"/>
          <w:szCs w:val="24"/>
          <w:lang w:val="pt-BR"/>
        </w:rPr>
      </w:pPr>
      <w:r>
        <w:rPr>
          <w:rFonts w:hint="default" w:ascii="Arial" w:hAnsi="Arial" w:cs="Arial"/>
          <w:b/>
          <w:sz w:val="24"/>
          <w:szCs w:val="24"/>
        </w:rPr>
        <w:t>META 15:.............................................................</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46</w:t>
      </w:r>
    </w:p>
    <w:p w14:paraId="791208B0">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46</w:t>
      </w:r>
    </w:p>
    <w:p w14:paraId="70DEFF59">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47</w:t>
      </w:r>
      <w:bookmarkStart w:id="0" w:name="_GoBack"/>
      <w:bookmarkEnd w:id="0"/>
    </w:p>
    <w:p w14:paraId="63A49C3E">
      <w:pPr>
        <w:rPr>
          <w:rFonts w:hint="default" w:ascii="Arial" w:hAnsi="Arial" w:cs="Arial"/>
          <w:b/>
          <w:sz w:val="24"/>
          <w:szCs w:val="24"/>
          <w:lang w:val="pt-BR"/>
        </w:rPr>
      </w:pPr>
      <w:r>
        <w:rPr>
          <w:rFonts w:hint="default" w:ascii="Arial" w:hAnsi="Arial" w:cs="Arial"/>
          <w:b/>
          <w:sz w:val="24"/>
          <w:szCs w:val="24"/>
        </w:rPr>
        <w:t>META 16:...............................................................</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50</w:t>
      </w:r>
    </w:p>
    <w:p w14:paraId="41A16FC6">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50</w:t>
      </w:r>
    </w:p>
    <w:p w14:paraId="510E1FDA">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51</w:t>
      </w:r>
    </w:p>
    <w:p w14:paraId="5077B49A">
      <w:pPr>
        <w:rPr>
          <w:rFonts w:hint="default" w:ascii="Arial" w:hAnsi="Arial" w:cs="Arial"/>
          <w:b/>
          <w:sz w:val="24"/>
          <w:szCs w:val="24"/>
          <w:lang w:val="pt-BR"/>
        </w:rPr>
      </w:pPr>
      <w:r>
        <w:rPr>
          <w:rFonts w:hint="default" w:ascii="Arial" w:hAnsi="Arial" w:cs="Arial"/>
          <w:b/>
          <w:sz w:val="24"/>
          <w:szCs w:val="24"/>
        </w:rPr>
        <w:t>META 17:...........................................................</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53</w:t>
      </w:r>
    </w:p>
    <w:p w14:paraId="6E665CF7">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53</w:t>
      </w:r>
    </w:p>
    <w:p w14:paraId="3ACAA1B2">
      <w:pPr>
        <w:rPr>
          <w:rFonts w:hint="default" w:ascii="Arial" w:hAnsi="Arial" w:cs="Arial"/>
          <w:b/>
          <w:sz w:val="24"/>
          <w:szCs w:val="24"/>
          <w:lang w:val="pt-BR"/>
        </w:rPr>
      </w:pPr>
      <w:r>
        <w:rPr>
          <w:rFonts w:hint="default" w:ascii="Arial" w:hAnsi="Arial" w:cs="Arial"/>
          <w:b/>
          <w:sz w:val="24"/>
          <w:szCs w:val="24"/>
        </w:rPr>
        <w:t>META 18:.......................</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54</w:t>
      </w:r>
    </w:p>
    <w:p w14:paraId="0CA307DE">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54</w:t>
      </w:r>
    </w:p>
    <w:p w14:paraId="24301853">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57</w:t>
      </w:r>
    </w:p>
    <w:p w14:paraId="43D21C41">
      <w:pPr>
        <w:rPr>
          <w:rFonts w:hint="default" w:ascii="Arial" w:hAnsi="Arial" w:cs="Arial"/>
          <w:b/>
          <w:sz w:val="24"/>
          <w:szCs w:val="24"/>
          <w:lang w:val="pt-BR"/>
        </w:rPr>
      </w:pPr>
      <w:r>
        <w:rPr>
          <w:rFonts w:hint="default" w:ascii="Arial" w:hAnsi="Arial" w:cs="Arial"/>
          <w:b/>
          <w:sz w:val="24"/>
          <w:szCs w:val="24"/>
        </w:rPr>
        <w:t>META 19:...........................................................................</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62</w:t>
      </w:r>
    </w:p>
    <w:p w14:paraId="46CD943C">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62</w:t>
      </w:r>
    </w:p>
    <w:p w14:paraId="50831B28">
      <w:pPr>
        <w:rPr>
          <w:rFonts w:hint="default" w:ascii="Arial" w:hAnsi="Arial" w:cs="Arial"/>
          <w:sz w:val="24"/>
          <w:szCs w:val="24"/>
          <w:lang w:val="pt-BR"/>
        </w:rPr>
      </w:pPr>
      <w:r>
        <w:rPr>
          <w:rFonts w:hint="default" w:ascii="Arial" w:hAnsi="Arial" w:cs="Arial"/>
          <w:sz w:val="24"/>
          <w:szCs w:val="24"/>
        </w:rPr>
        <w:t>COMPORTAMENTO DOS INDICADORES DO PERÍODO:.....................................................................</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63</w:t>
      </w:r>
    </w:p>
    <w:p w14:paraId="207EF76D">
      <w:pPr>
        <w:rPr>
          <w:rFonts w:hint="default" w:ascii="Arial" w:hAnsi="Arial" w:cs="Arial"/>
          <w:b/>
          <w:sz w:val="24"/>
          <w:szCs w:val="24"/>
          <w:lang w:val="pt-BR"/>
        </w:rPr>
      </w:pPr>
      <w:r>
        <w:rPr>
          <w:rFonts w:hint="default" w:ascii="Arial" w:hAnsi="Arial" w:cs="Arial"/>
          <w:b/>
          <w:sz w:val="24"/>
          <w:szCs w:val="24"/>
        </w:rPr>
        <w:t>META 20:..............................................................................</w:t>
      </w:r>
      <w:r>
        <w:rPr>
          <w:rFonts w:hint="default" w:ascii="Arial" w:hAnsi="Arial" w:cs="Arial"/>
          <w:b/>
          <w:sz w:val="24"/>
          <w:szCs w:val="24"/>
          <w:lang w:val="pt-BR"/>
        </w:rPr>
        <w:t>..</w:t>
      </w:r>
      <w:r>
        <w:rPr>
          <w:rFonts w:hint="default" w:ascii="Arial" w:hAnsi="Arial" w:cs="Arial"/>
          <w:b/>
          <w:sz w:val="24"/>
          <w:szCs w:val="24"/>
        </w:rPr>
        <w:t>..............................................................................................</w:t>
      </w:r>
      <w:r>
        <w:rPr>
          <w:rFonts w:hint="default" w:ascii="Arial" w:hAnsi="Arial" w:cs="Arial"/>
          <w:b/>
          <w:sz w:val="24"/>
          <w:szCs w:val="24"/>
          <w:lang w:val="pt-BR"/>
        </w:rPr>
        <w:t>69</w:t>
      </w:r>
    </w:p>
    <w:p w14:paraId="758372CE">
      <w:pPr>
        <w:rPr>
          <w:rFonts w:hint="default" w:ascii="Arial" w:hAnsi="Arial" w:cs="Arial"/>
          <w:sz w:val="24"/>
          <w:szCs w:val="24"/>
          <w:lang w:val="pt-BR"/>
        </w:rPr>
      </w:pPr>
      <w:r>
        <w:rPr>
          <w:rFonts w:hint="default" w:ascii="Arial" w:hAnsi="Arial" w:cs="Arial"/>
          <w:sz w:val="24"/>
          <w:szCs w:val="24"/>
        </w:rPr>
        <w:t>FICHA METODOLÓGICA DOS INDICADORES MUNICIPAIS:...................................................................</w:t>
      </w:r>
      <w:r>
        <w:rPr>
          <w:rFonts w:hint="default" w:ascii="Arial" w:hAnsi="Arial" w:cs="Arial"/>
          <w:sz w:val="24"/>
          <w:szCs w:val="24"/>
          <w:lang w:val="pt-BR"/>
        </w:rPr>
        <w:t>.</w:t>
      </w:r>
      <w:r>
        <w:rPr>
          <w:rFonts w:hint="default" w:ascii="Arial" w:hAnsi="Arial" w:cs="Arial"/>
          <w:sz w:val="24"/>
          <w:szCs w:val="24"/>
        </w:rPr>
        <w:t>........................</w:t>
      </w:r>
      <w:r>
        <w:rPr>
          <w:rFonts w:hint="default" w:ascii="Arial" w:hAnsi="Arial" w:cs="Arial"/>
          <w:sz w:val="24"/>
          <w:szCs w:val="24"/>
          <w:lang w:val="pt-BR"/>
        </w:rPr>
        <w:t>69</w:t>
      </w:r>
    </w:p>
    <w:p w14:paraId="643F6976">
      <w:pPr>
        <w:rPr>
          <w:rFonts w:hint="default" w:ascii="Arial" w:hAnsi="Arial" w:cs="Arial"/>
          <w:sz w:val="24"/>
          <w:szCs w:val="24"/>
          <w:lang w:val="pt-BR"/>
        </w:rPr>
      </w:pPr>
      <w:r>
        <w:rPr>
          <w:rFonts w:hint="default" w:ascii="Arial" w:hAnsi="Arial" w:cs="Arial"/>
          <w:sz w:val="24"/>
          <w:szCs w:val="24"/>
        </w:rPr>
        <w:t xml:space="preserve">COMPORTAMENTO DOS INDICADORES DO </w:t>
      </w:r>
      <w:r>
        <w:rPr>
          <w:rFonts w:hint="default" w:ascii="Arial" w:hAnsi="Arial" w:cs="Arial"/>
          <w:sz w:val="24"/>
          <w:szCs w:val="24"/>
          <w:lang w:val="pt-BR"/>
        </w:rPr>
        <w:t>PERÍODO</w:t>
      </w:r>
      <w:r>
        <w:rPr>
          <w:rFonts w:hint="default" w:ascii="Arial" w:hAnsi="Arial" w:cs="Arial"/>
          <w:sz w:val="24"/>
          <w:szCs w:val="24"/>
        </w:rPr>
        <w:t>:.................................................................................................</w:t>
      </w:r>
      <w:r>
        <w:rPr>
          <w:rFonts w:hint="default" w:ascii="Arial" w:hAnsi="Arial" w:cs="Arial"/>
          <w:sz w:val="24"/>
          <w:szCs w:val="24"/>
          <w:lang w:val="pt-BR"/>
        </w:rPr>
        <w:t>70</w:t>
      </w:r>
    </w:p>
    <w:p w14:paraId="6D908F5C">
      <w:pPr>
        <w:numPr>
          <w:ilvl w:val="0"/>
          <w:numId w:val="1"/>
        </w:numPr>
        <w:ind w:left="49" w:leftChars="0" w:firstLine="0" w:firstLineChars="0"/>
        <w:rPr>
          <w:rFonts w:hint="default" w:ascii="Arial" w:hAnsi="Arial" w:cs="Arial"/>
          <w:b/>
          <w:sz w:val="24"/>
          <w:szCs w:val="24"/>
        </w:rPr>
      </w:pPr>
      <w:r>
        <w:rPr>
          <w:rFonts w:hint="default" w:ascii="Arial" w:hAnsi="Arial" w:cs="Arial"/>
          <w:b/>
          <w:sz w:val="24"/>
          <w:szCs w:val="24"/>
        </w:rPr>
        <w:t>CONCLUSÃO E RECOMENDAÇÕES:...........................................................................................................................</w:t>
      </w:r>
      <w:r>
        <w:rPr>
          <w:rFonts w:hint="default" w:ascii="Arial" w:hAnsi="Arial" w:cs="Arial"/>
          <w:b/>
          <w:sz w:val="24"/>
          <w:szCs w:val="24"/>
          <w:lang w:val="pt-BR"/>
        </w:rPr>
        <w:t>73</w:t>
      </w:r>
    </w:p>
    <w:p w14:paraId="4D5EDC9E">
      <w:pPr>
        <w:numPr>
          <w:ilvl w:val="0"/>
          <w:numId w:val="1"/>
        </w:numPr>
        <w:ind w:left="49" w:leftChars="0" w:firstLine="0" w:firstLineChars="0"/>
        <w:rPr>
          <w:rFonts w:hint="default" w:ascii="Arial" w:hAnsi="Arial" w:cs="Arial"/>
          <w:b/>
          <w:sz w:val="24"/>
          <w:szCs w:val="24"/>
          <w:lang w:val="pt-BR"/>
        </w:rPr>
      </w:pPr>
      <w:r>
        <w:rPr>
          <w:rFonts w:hint="default" w:ascii="Arial" w:hAnsi="Arial" w:cs="Arial"/>
          <w:b/>
          <w:sz w:val="24"/>
          <w:szCs w:val="24"/>
          <w:lang w:val="pt-BR"/>
        </w:rPr>
        <w:t>ANEXOS...........................................................................................................................................................................73</w:t>
      </w:r>
    </w:p>
    <w:p w14:paraId="5CD2763B">
      <w:pPr>
        <w:rPr>
          <w:rFonts w:hint="default" w:ascii="Arial" w:hAnsi="Arial" w:cs="Arial"/>
          <w:b/>
          <w:sz w:val="24"/>
          <w:szCs w:val="24"/>
        </w:rPr>
      </w:pPr>
      <w:r>
        <w:rPr>
          <w:rFonts w:hint="default" w:ascii="Arial" w:hAnsi="Arial" w:cs="Arial"/>
          <w:b/>
          <w:sz w:val="24"/>
          <w:szCs w:val="24"/>
        </w:rPr>
        <w:t xml:space="preserve"> APRESENTAÇÃO </w:t>
      </w:r>
    </w:p>
    <w:p w14:paraId="24440169">
      <w:pPr>
        <w:rPr>
          <w:b/>
        </w:rPr>
      </w:pPr>
      <w:r>
        <w:rPr>
          <w:b/>
        </w:rPr>
        <w:t xml:space="preserve"> </w:t>
      </w:r>
    </w:p>
    <w:p w14:paraId="604E194D">
      <w:pPr>
        <w:keepNext w:val="0"/>
        <w:keepLines w:val="0"/>
        <w:widowControl/>
        <w:suppressLineNumbers w:val="0"/>
        <w:spacing w:line="360" w:lineRule="auto"/>
        <w:ind w:firstLine="708" w:firstLineChars="0"/>
        <w:jc w:val="both"/>
        <w:rPr>
          <w:rFonts w:hint="default" w:ascii="Arial" w:hAnsi="Arial" w:cs="Arial"/>
          <w:sz w:val="24"/>
          <w:szCs w:val="24"/>
        </w:rPr>
      </w:pPr>
      <w:r>
        <w:rPr>
          <w:rFonts w:hint="default" w:ascii="Arial" w:hAnsi="Arial" w:cs="Arial"/>
          <w:sz w:val="24"/>
          <w:szCs w:val="24"/>
        </w:rPr>
        <w:t xml:space="preserve">Em consonância com o Plano Nacional de Educação (PNE), Lei Federal nº 13.005/2014 e com o Plano Estadual de Educação (PEE), Lei Estadual nº 18.492/2015, a </w:t>
      </w:r>
      <w:r>
        <w:rPr>
          <w:rFonts w:ascii="Arial" w:hAnsi="Arial" w:eastAsia="SimSun" w:cs="Arial"/>
          <w:b w:val="0"/>
          <w:bCs w:val="0"/>
          <w:color w:val="000000"/>
          <w:kern w:val="0"/>
          <w:sz w:val="24"/>
          <w:szCs w:val="24"/>
          <w:lang w:val="en-US" w:eastAsia="zh-CN" w:bidi="ar"/>
        </w:rPr>
        <w:t>L</w:t>
      </w:r>
      <w:r>
        <w:rPr>
          <w:rFonts w:hint="default" w:ascii="Arial" w:hAnsi="Arial" w:eastAsia="SimSun" w:cs="Arial"/>
          <w:b w:val="0"/>
          <w:bCs w:val="0"/>
          <w:color w:val="000000"/>
          <w:kern w:val="0"/>
          <w:sz w:val="24"/>
          <w:szCs w:val="24"/>
          <w:lang w:val="pt-BR" w:eastAsia="zh-CN" w:bidi="ar"/>
        </w:rPr>
        <w:t>ei n</w:t>
      </w:r>
      <w:r>
        <w:rPr>
          <w:rFonts w:ascii="Arial" w:hAnsi="Arial" w:eastAsia="SimSun" w:cs="Arial"/>
          <w:b w:val="0"/>
          <w:bCs w:val="0"/>
          <w:color w:val="000000"/>
          <w:kern w:val="0"/>
          <w:sz w:val="24"/>
          <w:szCs w:val="24"/>
          <w:lang w:val="en-US" w:eastAsia="zh-CN" w:bidi="ar"/>
        </w:rPr>
        <w:t xml:space="preserve">º. 865 </w:t>
      </w:r>
      <w:r>
        <w:rPr>
          <w:rFonts w:hint="default" w:ascii="Arial" w:hAnsi="Arial" w:eastAsia="SimSun" w:cs="Arial"/>
          <w:b w:val="0"/>
          <w:bCs w:val="0"/>
          <w:color w:val="000000"/>
          <w:kern w:val="0"/>
          <w:sz w:val="24"/>
          <w:szCs w:val="24"/>
          <w:lang w:val="pt-BR" w:eastAsia="zh-CN" w:bidi="ar"/>
        </w:rPr>
        <w:t>de</w:t>
      </w:r>
      <w:r>
        <w:rPr>
          <w:rFonts w:ascii="Arial" w:hAnsi="Arial" w:eastAsia="SimSun" w:cs="Arial"/>
          <w:b w:val="0"/>
          <w:bCs w:val="0"/>
          <w:color w:val="000000"/>
          <w:kern w:val="0"/>
          <w:sz w:val="24"/>
          <w:szCs w:val="24"/>
          <w:lang w:val="en-US" w:eastAsia="zh-CN" w:bidi="ar"/>
        </w:rPr>
        <w:t xml:space="preserve"> 12 </w:t>
      </w:r>
      <w:r>
        <w:rPr>
          <w:rFonts w:hint="default" w:ascii="Arial" w:hAnsi="Arial" w:eastAsia="SimSun" w:cs="Arial"/>
          <w:b w:val="0"/>
          <w:bCs w:val="0"/>
          <w:color w:val="000000"/>
          <w:kern w:val="0"/>
          <w:sz w:val="24"/>
          <w:szCs w:val="24"/>
          <w:lang w:val="pt-BR" w:eastAsia="zh-CN" w:bidi="ar"/>
        </w:rPr>
        <w:t xml:space="preserve">dejunho de </w:t>
      </w:r>
      <w:r>
        <w:rPr>
          <w:rFonts w:ascii="Arial" w:hAnsi="Arial" w:eastAsia="SimSun" w:cs="Arial"/>
          <w:b w:val="0"/>
          <w:bCs w:val="0"/>
          <w:color w:val="000000"/>
          <w:kern w:val="0"/>
          <w:sz w:val="24"/>
          <w:szCs w:val="24"/>
          <w:lang w:val="en-US" w:eastAsia="zh-CN" w:bidi="ar"/>
        </w:rPr>
        <w:t>2015</w:t>
      </w:r>
      <w:r>
        <w:rPr>
          <w:rFonts w:hint="default" w:ascii="Arial" w:hAnsi="Arial" w:eastAsia="SimSun" w:cs="Arial"/>
          <w:b w:val="0"/>
          <w:bCs w:val="0"/>
          <w:color w:val="000000"/>
          <w:kern w:val="0"/>
          <w:sz w:val="24"/>
          <w:szCs w:val="24"/>
          <w:lang w:val="pt-BR" w:eastAsia="zh-CN" w:bidi="ar"/>
        </w:rPr>
        <w:t>, do</w:t>
      </w:r>
      <w:r>
        <w:rPr>
          <w:rFonts w:hint="default" w:ascii="Arial" w:hAnsi="Arial" w:eastAsia="SimSun" w:cs="Arial"/>
          <w:b/>
          <w:bCs/>
          <w:color w:val="000000"/>
          <w:kern w:val="0"/>
          <w:sz w:val="24"/>
          <w:szCs w:val="24"/>
          <w:lang w:val="pt-BR" w:eastAsia="zh-CN" w:bidi="ar"/>
        </w:rPr>
        <w:t xml:space="preserve"> </w:t>
      </w:r>
      <w:r>
        <w:rPr>
          <w:rFonts w:hint="default" w:ascii="Arial" w:hAnsi="Arial" w:cs="Arial"/>
          <w:sz w:val="24"/>
          <w:szCs w:val="24"/>
        </w:rPr>
        <w:t>Plano Municipal de Educação de Nova Esperança do Sudoeste- PR, ressalta a necessidade de seu monitoramento contínuo e de avaliações periódicas, com envolvimento das instâncias responsáveis e a devida mobilização social para acompanhar sistematicamente o esforço de implementação das metas e estratégias do plano.</w:t>
      </w:r>
    </w:p>
    <w:p w14:paraId="386F53E8">
      <w:pPr>
        <w:spacing w:line="360" w:lineRule="auto"/>
        <w:ind w:firstLine="708" w:firstLineChars="0"/>
        <w:jc w:val="both"/>
        <w:rPr>
          <w:rFonts w:hint="default" w:ascii="Arial" w:hAnsi="Arial"/>
          <w:sz w:val="24"/>
          <w:szCs w:val="24"/>
          <w:lang w:val="pt-BR"/>
        </w:rPr>
      </w:pPr>
      <w:r>
        <w:rPr>
          <w:rFonts w:hint="default" w:ascii="Arial" w:hAnsi="Arial" w:cs="Arial"/>
          <w:sz w:val="24"/>
          <w:szCs w:val="24"/>
        </w:rPr>
        <w:t>O presente relatório trata do período compreendido entre o ano de 202</w:t>
      </w:r>
      <w:r>
        <w:rPr>
          <w:rFonts w:hint="default" w:ascii="Arial" w:hAnsi="Arial" w:cs="Arial"/>
          <w:sz w:val="24"/>
          <w:szCs w:val="24"/>
          <w:lang w:val="pt-BR"/>
        </w:rPr>
        <w:t>3</w:t>
      </w:r>
      <w:r>
        <w:rPr>
          <w:rFonts w:hint="default" w:ascii="Arial" w:hAnsi="Arial" w:cs="Arial"/>
          <w:sz w:val="24"/>
          <w:szCs w:val="24"/>
        </w:rPr>
        <w:t xml:space="preserve"> e 202</w:t>
      </w:r>
      <w:r>
        <w:rPr>
          <w:rFonts w:hint="default" w:ascii="Arial" w:hAnsi="Arial" w:cs="Arial"/>
          <w:sz w:val="24"/>
          <w:szCs w:val="24"/>
          <w:lang w:val="pt-BR"/>
        </w:rPr>
        <w:t>4</w:t>
      </w:r>
      <w:r>
        <w:rPr>
          <w:rFonts w:hint="default" w:ascii="Arial" w:hAnsi="Arial" w:cs="Arial"/>
          <w:sz w:val="24"/>
          <w:szCs w:val="24"/>
        </w:rPr>
        <w:t xml:space="preserve"> e, do ponto de vista metodológico, observou os procedimentos contidos no “Caderno de Orientações para Monitoramento e Avaliação dos Planos Municipais de Educação” </w:t>
      </w:r>
      <w:r>
        <w:rPr>
          <w:rFonts w:hint="default" w:ascii="Arial" w:hAnsi="Arial" w:cs="Arial"/>
          <w:sz w:val="24"/>
          <w:szCs w:val="24"/>
          <w:lang w:val="pt-BR"/>
        </w:rPr>
        <w:t xml:space="preserve">disponível em </w:t>
      </w:r>
      <w:r>
        <w:rPr>
          <w:rFonts w:hint="default" w:ascii="Arial" w:hAnsi="Arial"/>
          <w:sz w:val="24"/>
          <w:szCs w:val="24"/>
          <w:lang w:val="pt-BR"/>
        </w:rPr>
        <w:fldChar w:fldCharType="begin"/>
      </w:r>
      <w:r>
        <w:rPr>
          <w:rFonts w:hint="default" w:ascii="Arial" w:hAnsi="Arial"/>
          <w:sz w:val="24"/>
          <w:szCs w:val="24"/>
          <w:lang w:val="pt-BR"/>
        </w:rPr>
        <w:instrText xml:space="preserve"> HYPERLINK "http://pne.mec.gov.br/images/pdf/publicacoes/pne_pme_caderno_de_orientacoes_final.PDF)." </w:instrText>
      </w:r>
      <w:r>
        <w:rPr>
          <w:rFonts w:hint="default" w:ascii="Arial" w:hAnsi="Arial"/>
          <w:sz w:val="24"/>
          <w:szCs w:val="24"/>
          <w:lang w:val="pt-BR"/>
        </w:rPr>
        <w:fldChar w:fldCharType="separate"/>
      </w:r>
      <w:r>
        <w:rPr>
          <w:rStyle w:val="5"/>
          <w:rFonts w:hint="default" w:ascii="Arial" w:hAnsi="Arial"/>
          <w:sz w:val="24"/>
          <w:szCs w:val="24"/>
          <w:lang w:val="pt-BR"/>
        </w:rPr>
        <w:t>http://pne.mec.gov.br/images/pdf/publicacoes/pne_pme_caderno_de_orientacoes_final.PDF).</w:t>
      </w:r>
      <w:r>
        <w:rPr>
          <w:rFonts w:hint="default" w:ascii="Arial" w:hAnsi="Arial"/>
          <w:sz w:val="24"/>
          <w:szCs w:val="24"/>
          <w:lang w:val="pt-BR"/>
        </w:rPr>
        <w:fldChar w:fldCharType="end"/>
      </w:r>
    </w:p>
    <w:p w14:paraId="233CFCA9">
      <w:pPr>
        <w:spacing w:line="360" w:lineRule="auto"/>
        <w:ind w:firstLine="708" w:firstLineChars="0"/>
        <w:jc w:val="both"/>
        <w:rPr>
          <w:rFonts w:hint="default" w:ascii="Arial" w:hAnsi="Arial" w:cs="Arial"/>
          <w:sz w:val="24"/>
          <w:szCs w:val="24"/>
        </w:rPr>
      </w:pPr>
      <w:r>
        <w:rPr>
          <w:rFonts w:hint="default" w:ascii="Arial" w:hAnsi="Arial" w:cs="Arial"/>
          <w:sz w:val="24"/>
          <w:szCs w:val="24"/>
        </w:rPr>
        <w:t>O IPARDES e SEED sistematizou e disponibilizou os dados disponíveis até novembro de 2024, por meio dos Cadernos de Subsídios para</w:t>
      </w:r>
      <w:r>
        <w:rPr>
          <w:rFonts w:hint="default" w:ascii="Arial" w:hAnsi="Arial" w:cs="Arial"/>
          <w:sz w:val="24"/>
          <w:szCs w:val="24"/>
          <w:lang w:val="pt-BR"/>
        </w:rPr>
        <w:t xml:space="preserve"> </w:t>
      </w:r>
      <w:r>
        <w:rPr>
          <w:rFonts w:hint="default" w:ascii="Arial" w:hAnsi="Arial" w:cs="Arial"/>
          <w:sz w:val="24"/>
          <w:szCs w:val="24"/>
        </w:rPr>
        <w:t>o Monitoramento e Avaliação dos PME. Porém, com as seguintes limitações: Os dados municipais provenientes do último Censo</w:t>
      </w:r>
      <w:r>
        <w:rPr>
          <w:rFonts w:hint="default" w:ascii="Arial" w:hAnsi="Arial" w:cs="Arial"/>
          <w:sz w:val="24"/>
          <w:szCs w:val="24"/>
          <w:lang w:val="pt-BR"/>
        </w:rPr>
        <w:t xml:space="preserve"> </w:t>
      </w:r>
      <w:r>
        <w:rPr>
          <w:rFonts w:hint="default" w:ascii="Arial" w:hAnsi="Arial" w:cs="Arial"/>
          <w:sz w:val="24"/>
          <w:szCs w:val="24"/>
        </w:rPr>
        <w:t>Demográfico ainda estão sendo publicados e sem calendário de finalização de divulgação definido pelo IBGE. Em virtude do contingente</w:t>
      </w:r>
      <w:r>
        <w:rPr>
          <w:rFonts w:hint="default" w:ascii="Arial" w:hAnsi="Arial" w:cs="Arial"/>
          <w:sz w:val="24"/>
          <w:szCs w:val="24"/>
          <w:lang w:val="pt-BR"/>
        </w:rPr>
        <w:t xml:space="preserve"> </w:t>
      </w:r>
      <w:r>
        <w:rPr>
          <w:rFonts w:hint="default" w:ascii="Arial" w:hAnsi="Arial" w:cs="Arial"/>
          <w:sz w:val="24"/>
          <w:szCs w:val="24"/>
        </w:rPr>
        <w:t>populacional mensurado pelo Censo Demográfico de 2022, a série histórica das estimativas municipais utilizadas como subsídio para</w:t>
      </w:r>
      <w:r>
        <w:rPr>
          <w:rFonts w:hint="default" w:ascii="Arial" w:hAnsi="Arial" w:cs="Arial"/>
          <w:sz w:val="24"/>
          <w:szCs w:val="24"/>
          <w:lang w:val="pt-BR"/>
        </w:rPr>
        <w:t xml:space="preserve"> </w:t>
      </w:r>
      <w:r>
        <w:rPr>
          <w:rFonts w:hint="default" w:ascii="Arial" w:hAnsi="Arial" w:cs="Arial"/>
          <w:sz w:val="24"/>
          <w:szCs w:val="24"/>
        </w:rPr>
        <w:t>avaliação dos PME no Paraná, necessitarão ser ajustadas. Dessa forma, a atualização dos Cadernos de Subsídios foi realizada com</w:t>
      </w:r>
      <w:r>
        <w:rPr>
          <w:rFonts w:hint="default" w:ascii="Arial" w:hAnsi="Arial" w:cs="Arial"/>
          <w:sz w:val="24"/>
          <w:szCs w:val="24"/>
          <w:lang w:val="pt-BR"/>
        </w:rPr>
        <w:t xml:space="preserve"> </w:t>
      </w:r>
      <w:r>
        <w:rPr>
          <w:rFonts w:hint="default" w:ascii="Arial" w:hAnsi="Arial" w:cs="Arial"/>
          <w:sz w:val="24"/>
          <w:szCs w:val="24"/>
        </w:rPr>
        <w:t xml:space="preserve">limitações. </w:t>
      </w:r>
    </w:p>
    <w:p w14:paraId="65186357">
      <w:r>
        <w:t xml:space="preserve"> </w:t>
      </w:r>
    </w:p>
    <w:p w14:paraId="1E4A1EAC">
      <w:r>
        <w:t xml:space="preserve"> </w:t>
      </w:r>
    </w:p>
    <w:p w14:paraId="3DB11C88"/>
    <w:p w14:paraId="6179FD7A"/>
    <w:p w14:paraId="12DD7822"/>
    <w:tbl>
      <w:tblPr>
        <w:tblStyle w:val="9"/>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
        <w:gridCol w:w="6472"/>
        <w:gridCol w:w="14"/>
        <w:gridCol w:w="9"/>
        <w:gridCol w:w="6495"/>
        <w:gridCol w:w="3"/>
      </w:tblGrid>
      <w:tr w14:paraId="6616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 w:type="dxa"/>
        </w:trPr>
        <w:tc>
          <w:tcPr>
            <w:tcW w:w="12993" w:type="dxa"/>
            <w:gridSpan w:val="5"/>
          </w:tcPr>
          <w:p w14:paraId="3491C400">
            <w:pPr>
              <w:pStyle w:val="16"/>
              <w:numPr>
                <w:ilvl w:val="0"/>
                <w:numId w:val="0"/>
              </w:numPr>
              <w:jc w:val="center"/>
              <w:rPr>
                <w:rFonts w:hint="default"/>
                <w:b/>
                <w:vertAlign w:val="baseline"/>
                <w:lang w:val="pt-BR"/>
              </w:rPr>
            </w:pPr>
            <w:r>
              <w:rPr>
                <w:rFonts w:hint="default"/>
                <w:b/>
                <w:vertAlign w:val="baseline"/>
                <w:lang w:val="pt-BR"/>
              </w:rPr>
              <w:t>Ficha metodológica para o indicador 1A - base PNE</w:t>
            </w:r>
          </w:p>
        </w:tc>
      </w:tr>
      <w:tr w14:paraId="2583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3" w:type="dxa"/>
          <w:wAfter w:w="3" w:type="dxa"/>
        </w:trPr>
        <w:tc>
          <w:tcPr>
            <w:tcW w:w="6472" w:type="dxa"/>
            <w:tcBorders>
              <w:top w:val="outset" w:color="auto" w:sz="6" w:space="0"/>
              <w:left w:val="outset" w:color="auto" w:sz="6" w:space="0"/>
              <w:bottom w:val="outset" w:color="auto" w:sz="6" w:space="0"/>
              <w:right w:val="outset" w:color="auto" w:sz="6" w:space="0"/>
            </w:tcBorders>
          </w:tcPr>
          <w:p w14:paraId="035594A8">
            <w:pPr>
              <w:spacing w:after="160" w:line="259" w:lineRule="auto"/>
              <w:rPr>
                <w:b/>
              </w:rPr>
            </w:pPr>
            <w:r>
              <w:t xml:space="preserve"> </w:t>
            </w:r>
            <w:r>
              <w:rPr>
                <w:b/>
              </w:rPr>
              <w:t>Meta</w:t>
            </w:r>
          </w:p>
        </w:tc>
        <w:tc>
          <w:tcPr>
            <w:tcW w:w="6518" w:type="dxa"/>
            <w:gridSpan w:val="3"/>
            <w:tcBorders>
              <w:top w:val="outset" w:color="auto" w:sz="6" w:space="0"/>
              <w:left w:val="outset" w:color="auto" w:sz="6" w:space="0"/>
              <w:bottom w:val="outset" w:color="auto" w:sz="6" w:space="0"/>
              <w:right w:val="outset" w:color="auto" w:sz="6" w:space="0"/>
            </w:tcBorders>
          </w:tcPr>
          <w:p w14:paraId="6799E9DE">
            <w:pPr>
              <w:spacing w:after="160" w:line="259" w:lineRule="auto"/>
              <w:rPr>
                <w:b/>
              </w:rPr>
            </w:pPr>
            <w:r>
              <w:rPr>
                <w:b/>
              </w:rPr>
              <w:t>Texto da meta</w:t>
            </w:r>
          </w:p>
        </w:tc>
      </w:tr>
      <w:tr w14:paraId="2B35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3" w:type="dxa"/>
          <w:wAfter w:w="3" w:type="dxa"/>
        </w:trPr>
        <w:tc>
          <w:tcPr>
            <w:tcW w:w="6472" w:type="dxa"/>
            <w:tcBorders>
              <w:top w:val="nil"/>
              <w:left w:val="outset" w:color="auto" w:sz="6" w:space="0"/>
              <w:bottom w:val="outset" w:color="auto" w:sz="6" w:space="0"/>
              <w:right w:val="outset" w:color="auto" w:sz="6" w:space="0"/>
            </w:tcBorders>
          </w:tcPr>
          <w:p w14:paraId="603079DA">
            <w:pPr>
              <w:spacing w:after="160" w:line="259" w:lineRule="auto"/>
            </w:pPr>
            <w:r>
              <w:t>1</w:t>
            </w:r>
          </w:p>
          <w:p w14:paraId="73B69755">
            <w:pPr>
              <w:spacing w:after="160" w:line="259" w:lineRule="auto"/>
            </w:pPr>
          </w:p>
          <w:p w14:paraId="1C283E2B">
            <w:pPr>
              <w:spacing w:after="160" w:line="259" w:lineRule="auto"/>
            </w:pPr>
          </w:p>
          <w:p w14:paraId="76C08AE2">
            <w:pPr>
              <w:spacing w:after="160" w:line="259" w:lineRule="auto"/>
            </w:pPr>
          </w:p>
        </w:tc>
        <w:tc>
          <w:tcPr>
            <w:tcW w:w="6518" w:type="dxa"/>
            <w:gridSpan w:val="3"/>
            <w:tcBorders>
              <w:top w:val="nil"/>
              <w:left w:val="outset" w:color="auto" w:sz="6" w:space="0"/>
              <w:bottom w:val="outset" w:color="auto" w:sz="6" w:space="0"/>
              <w:right w:val="outset" w:color="auto" w:sz="6" w:space="0"/>
            </w:tcBorders>
          </w:tcPr>
          <w:p w14:paraId="33B41D30">
            <w:pPr>
              <w:spacing w:after="160" w:line="259" w:lineRule="auto"/>
              <w:jc w:val="both"/>
              <w:rPr>
                <w:bCs/>
              </w:rPr>
            </w:pPr>
            <w:r>
              <w:rPr>
                <w:bCs/>
              </w:rPr>
              <w:t>Universalizar, até 2016, a Educação Infantil na Pré-Escola para as Crianças de 4 a 5 anos de idade. Ofertar a partir do 5º ano de Vigência do PME em até 50% o atendimento em Creches para Crianças de 18 meses a 3 anos e aumentar gradativamente até o final do plano o atendimento para crianças a partir do 4º mês de vida.</w:t>
            </w:r>
          </w:p>
          <w:p w14:paraId="06D1F308">
            <w:pPr>
              <w:spacing w:after="160" w:line="259" w:lineRule="auto"/>
              <w:jc w:val="both"/>
              <w:rPr>
                <w:bCs/>
              </w:rPr>
            </w:pPr>
            <w:r>
              <w:rPr>
                <w:b/>
                <w:bCs/>
              </w:rPr>
              <w:t>Nota técnica:</w:t>
            </w:r>
            <w:r>
              <w:rPr>
                <w:bCs/>
              </w:rPr>
              <w:t xml:space="preserve"> Após estudos e análise, do Plano Municipal de Educação, pela Equipe técnica de Avaliação, e Comissão Coordenadora notou-se que, o texto descrito nesta estratégia precisa ser reformulado devido à questão da idade para o atendimento das crianças no CMEI.</w:t>
            </w:r>
          </w:p>
          <w:p w14:paraId="57D7C69D">
            <w:pPr>
              <w:spacing w:after="160" w:line="259" w:lineRule="auto"/>
              <w:jc w:val="both"/>
              <w:rPr>
                <w:i/>
              </w:rPr>
            </w:pPr>
            <w:r>
              <w:rPr>
                <w:bCs/>
              </w:rPr>
              <w:t>Deste modo, os avaliadores do PME, deliberaram que a redação desta estratégia 1.2 PASSA A SER: “Oferta gradativamente a partir do 5º ano de vigência do PME o atendimento as crianças de 0(zero) a 3(três) anos, na medida que houver estrutura física, material necessário e profissionais capacitados para a área.”</w:t>
            </w:r>
          </w:p>
        </w:tc>
      </w:tr>
      <w:tr w14:paraId="33C0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89" w:type="dxa"/>
            <w:gridSpan w:val="3"/>
            <w:tcBorders>
              <w:top w:val="outset" w:color="auto" w:sz="6" w:space="0"/>
              <w:left w:val="outset" w:color="auto" w:sz="6" w:space="0"/>
              <w:bottom w:val="outset" w:color="auto" w:sz="6" w:space="0"/>
              <w:right w:val="outset" w:color="auto" w:sz="6" w:space="0"/>
            </w:tcBorders>
          </w:tcPr>
          <w:p w14:paraId="303E7FD5">
            <w:r>
              <w:rPr>
                <w:b/>
              </w:rPr>
              <w:t xml:space="preserve"> </w:t>
            </w:r>
            <w:r>
              <w:t>Indicador 1 A Nacional</w:t>
            </w:r>
          </w:p>
        </w:tc>
        <w:tc>
          <w:tcPr>
            <w:tcW w:w="6507" w:type="dxa"/>
            <w:gridSpan w:val="3"/>
            <w:tcBorders>
              <w:top w:val="outset" w:color="auto" w:sz="6" w:space="0"/>
              <w:left w:val="outset" w:color="auto" w:sz="6" w:space="0"/>
              <w:bottom w:val="outset" w:color="auto" w:sz="6" w:space="0"/>
              <w:right w:val="outset" w:color="auto" w:sz="6" w:space="0"/>
            </w:tcBorders>
          </w:tcPr>
          <w:p w14:paraId="513EB71B">
            <w:pPr>
              <w:spacing w:after="160" w:line="259" w:lineRule="auto"/>
            </w:pPr>
            <w:r>
              <w:t>Percentual de pessoas de 4 a 5 anos matriculadas na pré-escola</w:t>
            </w:r>
          </w:p>
        </w:tc>
      </w:tr>
      <w:tr w14:paraId="5E53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89" w:type="dxa"/>
            <w:gridSpan w:val="3"/>
            <w:tcBorders>
              <w:top w:val="outset" w:color="auto" w:sz="6" w:space="0"/>
              <w:left w:val="outset" w:color="auto" w:sz="6" w:space="0"/>
              <w:bottom w:val="outset" w:color="auto" w:sz="6" w:space="0"/>
              <w:right w:val="outset" w:color="auto" w:sz="6" w:space="0"/>
            </w:tcBorders>
          </w:tcPr>
          <w:p w14:paraId="028EE7B3">
            <w:pPr>
              <w:spacing w:after="0" w:line="240" w:lineRule="auto"/>
            </w:pPr>
            <w:r>
              <w:t>Indicador 1 A Proposto</w:t>
            </w:r>
          </w:p>
        </w:tc>
        <w:tc>
          <w:tcPr>
            <w:tcW w:w="6507" w:type="dxa"/>
            <w:gridSpan w:val="3"/>
            <w:tcBorders>
              <w:top w:val="outset" w:color="auto" w:sz="6" w:space="0"/>
              <w:left w:val="outset" w:color="auto" w:sz="6" w:space="0"/>
              <w:bottom w:val="outset" w:color="auto" w:sz="6" w:space="0"/>
              <w:right w:val="outset" w:color="auto" w:sz="6" w:space="0"/>
            </w:tcBorders>
          </w:tcPr>
          <w:p w14:paraId="091119E9">
            <w:pPr>
              <w:spacing w:after="0" w:line="240" w:lineRule="auto"/>
            </w:pPr>
            <w:r>
              <w:t>Proporção de pessoas de 4 a 5 anos matriculadas na pré-escola</w:t>
            </w:r>
          </w:p>
        </w:tc>
      </w:tr>
      <w:tr w14:paraId="2DF6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89" w:type="dxa"/>
            <w:gridSpan w:val="3"/>
            <w:tcBorders>
              <w:top w:val="nil"/>
              <w:left w:val="outset" w:color="auto" w:sz="6" w:space="0"/>
              <w:bottom w:val="outset" w:color="auto" w:sz="6" w:space="0"/>
              <w:right w:val="outset" w:color="auto" w:sz="6" w:space="0"/>
            </w:tcBorders>
          </w:tcPr>
          <w:p w14:paraId="6D14316E">
            <w:pPr>
              <w:spacing w:after="160" w:line="259" w:lineRule="auto"/>
            </w:pPr>
            <w:r>
              <w:t>Conceitos e definições</w:t>
            </w:r>
          </w:p>
        </w:tc>
        <w:tc>
          <w:tcPr>
            <w:tcW w:w="6507" w:type="dxa"/>
            <w:gridSpan w:val="3"/>
            <w:tcBorders>
              <w:top w:val="nil"/>
              <w:left w:val="outset" w:color="auto" w:sz="6" w:space="0"/>
              <w:bottom w:val="outset" w:color="auto" w:sz="6" w:space="0"/>
              <w:right w:val="outset" w:color="auto" w:sz="6" w:space="0"/>
            </w:tcBorders>
          </w:tcPr>
          <w:p w14:paraId="77E7F0EF">
            <w:pPr>
              <w:spacing w:after="160" w:line="259" w:lineRule="auto"/>
            </w:pPr>
            <w:r>
              <w:t>Percentual de crianças de 4 e 5 anos que estão matriculadas na pré-escola no município. Mede a taxa líquida de atendimento no município na faixa etária.</w:t>
            </w:r>
          </w:p>
        </w:tc>
      </w:tr>
      <w:tr w14:paraId="307F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89" w:type="dxa"/>
            <w:gridSpan w:val="3"/>
            <w:tcBorders>
              <w:top w:val="nil"/>
              <w:left w:val="outset" w:color="auto" w:sz="6" w:space="0"/>
              <w:bottom w:val="outset" w:color="auto" w:sz="6" w:space="0"/>
              <w:right w:val="outset" w:color="auto" w:sz="6" w:space="0"/>
            </w:tcBorders>
          </w:tcPr>
          <w:p w14:paraId="3E991DFA">
            <w:pPr>
              <w:spacing w:after="160" w:line="259" w:lineRule="auto"/>
            </w:pPr>
            <w:r>
              <w:t>Fórmula de cálculo</w:t>
            </w:r>
          </w:p>
        </w:tc>
        <w:tc>
          <w:tcPr>
            <w:tcW w:w="6507" w:type="dxa"/>
            <w:gridSpan w:val="3"/>
            <w:tcBorders>
              <w:top w:val="nil"/>
              <w:left w:val="outset" w:color="auto" w:sz="6" w:space="0"/>
              <w:bottom w:val="outset" w:color="auto" w:sz="6" w:space="0"/>
              <w:right w:val="outset" w:color="auto" w:sz="6" w:space="0"/>
            </w:tcBorders>
          </w:tcPr>
          <w:p w14:paraId="6C5D7F91">
            <w:pPr>
              <w:spacing w:after="160" w:line="259" w:lineRule="auto"/>
            </w:pPr>
            <w:r>
              <w:t>(Número de pessoas de 4 e 5 anos matriculadas na pré-escola / Número total de pessoas de 4 e 5 anos) X 100</w:t>
            </w:r>
          </w:p>
        </w:tc>
      </w:tr>
      <w:tr w14:paraId="3250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89" w:type="dxa"/>
            <w:gridSpan w:val="3"/>
            <w:tcBorders>
              <w:top w:val="nil"/>
              <w:left w:val="outset" w:color="auto" w:sz="6" w:space="0"/>
              <w:bottom w:val="outset" w:color="auto" w:sz="6" w:space="0"/>
              <w:right w:val="outset" w:color="auto" w:sz="6" w:space="0"/>
            </w:tcBorders>
          </w:tcPr>
          <w:p w14:paraId="7DA59EE2">
            <w:pPr>
              <w:spacing w:after="160" w:line="259" w:lineRule="auto"/>
            </w:pPr>
            <w:r>
              <w:t>Unidade de medida</w:t>
            </w:r>
          </w:p>
        </w:tc>
        <w:tc>
          <w:tcPr>
            <w:tcW w:w="6507" w:type="dxa"/>
            <w:gridSpan w:val="3"/>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1272"/>
            </w:tblGrid>
            <w:tr w14:paraId="6A7B1679">
              <w:tc>
                <w:tcPr>
                  <w:tcW w:w="0" w:type="auto"/>
                  <w:tcBorders>
                    <w:top w:val="nil"/>
                    <w:left w:val="nil"/>
                    <w:bottom w:val="nil"/>
                    <w:right w:val="nil"/>
                  </w:tcBorders>
                </w:tcPr>
                <w:p w14:paraId="56CCB793">
                  <w:r>
                    <w:t>% de pessoas.</w:t>
                  </w:r>
                </w:p>
              </w:tc>
            </w:tr>
          </w:tbl>
          <w:p w14:paraId="76633021">
            <w:pPr>
              <w:spacing w:after="160" w:line="259" w:lineRule="auto"/>
            </w:pPr>
          </w:p>
        </w:tc>
      </w:tr>
      <w:tr w14:paraId="43F7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4"/>
          </w:tcPr>
          <w:p w14:paraId="4AB787EE">
            <w:pPr>
              <w:spacing w:after="0" w:line="240" w:lineRule="auto"/>
            </w:pPr>
            <w:r>
              <w:t xml:space="preserve"> Variáveis que compõem o indicador, suas respectivas fontes e instituições produtoras.</w:t>
            </w:r>
          </w:p>
        </w:tc>
        <w:tc>
          <w:tcPr>
            <w:tcW w:w="6498" w:type="dxa"/>
            <w:gridSpan w:val="2"/>
          </w:tcPr>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2091"/>
              <w:gridCol w:w="2091"/>
            </w:tblGrid>
            <w:tr w14:paraId="5419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0D9D642B">
                  <w:pPr>
                    <w:spacing w:after="0" w:line="240" w:lineRule="auto"/>
                  </w:pPr>
                  <w:r>
                    <w:t>Variáveis</w:t>
                  </w:r>
                </w:p>
              </w:tc>
              <w:tc>
                <w:tcPr>
                  <w:tcW w:w="2091" w:type="dxa"/>
                </w:tcPr>
                <w:p w14:paraId="6A0F213A">
                  <w:pPr>
                    <w:spacing w:after="0" w:line="240" w:lineRule="auto"/>
                  </w:pPr>
                  <w:r>
                    <w:t>Fontes</w:t>
                  </w:r>
                </w:p>
              </w:tc>
              <w:tc>
                <w:tcPr>
                  <w:tcW w:w="2091" w:type="dxa"/>
                </w:tcPr>
                <w:p w14:paraId="04209975">
                  <w:pPr>
                    <w:spacing w:after="0" w:line="240" w:lineRule="auto"/>
                  </w:pPr>
                  <w:r>
                    <w:t>Instituições</w:t>
                  </w:r>
                </w:p>
              </w:tc>
            </w:tr>
            <w:tr w14:paraId="3756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56737C97">
                  <w:pPr>
                    <w:spacing w:after="0" w:line="240" w:lineRule="auto"/>
                  </w:pPr>
                  <w:r>
                    <w:t>População total de 4 e 5 anos de idade</w:t>
                  </w:r>
                </w:p>
              </w:tc>
              <w:tc>
                <w:tcPr>
                  <w:tcW w:w="2091" w:type="dxa"/>
                </w:tcPr>
                <w:p w14:paraId="1CC43E5B">
                  <w:pPr>
                    <w:spacing w:after="0" w:line="240" w:lineRule="auto"/>
                  </w:pPr>
                  <w:r>
                    <w:t>Projeção Populacional dos municípios Paranaenses (revisão 2018)</w:t>
                  </w:r>
                </w:p>
              </w:tc>
              <w:tc>
                <w:tcPr>
                  <w:tcW w:w="2091" w:type="dxa"/>
                </w:tcPr>
                <w:p w14:paraId="7A890D65">
                  <w:pPr>
                    <w:spacing w:after="0" w:line="240" w:lineRule="auto"/>
                  </w:pPr>
                  <w:r>
                    <w:t>IPARDES</w:t>
                  </w:r>
                </w:p>
              </w:tc>
            </w:tr>
            <w:tr w14:paraId="4C85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02030FD">
                  <w:pPr>
                    <w:spacing w:after="0" w:line="240" w:lineRule="auto"/>
                  </w:pPr>
                  <w:r>
                    <w:t>CO_MUNICIPIO</w:t>
                  </w:r>
                </w:p>
              </w:tc>
              <w:tc>
                <w:tcPr>
                  <w:tcW w:w="2091" w:type="dxa"/>
                </w:tcPr>
                <w:p w14:paraId="4E6AC983">
                  <w:pPr>
                    <w:spacing w:after="0" w:line="240" w:lineRule="auto"/>
                  </w:pPr>
                  <w:r>
                    <w:t>Censo Escolar</w:t>
                  </w:r>
                </w:p>
              </w:tc>
              <w:tc>
                <w:tcPr>
                  <w:tcW w:w="2091" w:type="dxa"/>
                </w:tcPr>
                <w:p w14:paraId="5BE2745D">
                  <w:pPr>
                    <w:spacing w:after="0" w:line="240" w:lineRule="auto"/>
                  </w:pPr>
                  <w:r>
                    <w:t>INEP</w:t>
                  </w:r>
                </w:p>
              </w:tc>
            </w:tr>
            <w:tr w14:paraId="6330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0C4D73E5">
                  <w:pPr>
                    <w:spacing w:after="0" w:line="240" w:lineRule="auto"/>
                  </w:pPr>
                  <w:r>
                    <w:t>QT_MAT_BAS_4_5</w:t>
                  </w:r>
                </w:p>
              </w:tc>
              <w:tc>
                <w:tcPr>
                  <w:tcW w:w="2091" w:type="dxa"/>
                </w:tcPr>
                <w:p w14:paraId="7EC0D222">
                  <w:pPr>
                    <w:spacing w:after="0" w:line="240" w:lineRule="auto"/>
                  </w:pPr>
                  <w:r>
                    <w:t>Censo Escolar</w:t>
                  </w:r>
                </w:p>
              </w:tc>
              <w:tc>
                <w:tcPr>
                  <w:tcW w:w="2091" w:type="dxa"/>
                </w:tcPr>
                <w:p w14:paraId="5E33817D">
                  <w:pPr>
                    <w:spacing w:after="0" w:line="240" w:lineRule="auto"/>
                  </w:pPr>
                  <w:r>
                    <w:t>INEP</w:t>
                  </w:r>
                </w:p>
              </w:tc>
            </w:tr>
          </w:tbl>
          <w:p w14:paraId="6A62FAEF">
            <w:pPr>
              <w:spacing w:after="0" w:line="240" w:lineRule="auto"/>
            </w:pPr>
          </w:p>
        </w:tc>
      </w:tr>
      <w:tr w14:paraId="3BEC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4"/>
          </w:tcPr>
          <w:p w14:paraId="7C50B673">
            <w:pPr>
              <w:spacing w:after="0" w:line="240" w:lineRule="auto"/>
            </w:pPr>
            <w:r>
              <w:t>Níveis de Desagregação</w:t>
            </w:r>
          </w:p>
        </w:tc>
        <w:tc>
          <w:tcPr>
            <w:tcW w:w="6498" w:type="dxa"/>
            <w:gridSpan w:val="2"/>
          </w:tcPr>
          <w:p w14:paraId="4F5C2612">
            <w:pPr>
              <w:spacing w:after="0" w:line="240" w:lineRule="auto"/>
            </w:pPr>
            <w:r>
              <w:t>Estado e Município</w:t>
            </w:r>
          </w:p>
        </w:tc>
      </w:tr>
      <w:tr w14:paraId="11F3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4"/>
          </w:tcPr>
          <w:p w14:paraId="356D5745">
            <w:pPr>
              <w:spacing w:after="0" w:line="240" w:lineRule="auto"/>
            </w:pPr>
            <w:r>
              <w:t>Periodicidade de atualização</w:t>
            </w:r>
          </w:p>
        </w:tc>
        <w:tc>
          <w:tcPr>
            <w:tcW w:w="6498" w:type="dxa"/>
            <w:gridSpan w:val="2"/>
          </w:tcPr>
          <w:p w14:paraId="63EA0F59">
            <w:pPr>
              <w:spacing w:after="0" w:line="240" w:lineRule="auto"/>
            </w:pPr>
            <w:r>
              <w:t>Anual</w:t>
            </w:r>
          </w:p>
        </w:tc>
      </w:tr>
      <w:tr w14:paraId="47E1F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4"/>
          </w:tcPr>
          <w:p w14:paraId="3975B834">
            <w:pPr>
              <w:spacing w:after="0" w:line="240" w:lineRule="auto"/>
            </w:pPr>
            <w:r>
              <w:t>Desvantagens</w:t>
            </w:r>
          </w:p>
        </w:tc>
        <w:tc>
          <w:tcPr>
            <w:tcW w:w="6498" w:type="dxa"/>
            <w:gridSpan w:val="2"/>
          </w:tcPr>
          <w:p w14:paraId="4401EA83">
            <w:pPr>
              <w:pStyle w:val="16"/>
              <w:numPr>
                <w:ilvl w:val="0"/>
                <w:numId w:val="2"/>
              </w:numPr>
              <w:spacing w:after="0" w:line="240" w:lineRule="auto"/>
              <w:jc w:val="both"/>
            </w:pPr>
            <w:r>
              <w:t>Não segue a fonte oficial sugerida pelo Ministério (Censo Demográfico 2010 e PNAD), para o denominador. b)  Não é comparável com outros entes subnacionais. c)  É utilizado nesse cálculo, a variável de endereço da matrícula (CO_MUNICIPIO), isto é, onde a escola está localizada e a variável (QT_MAT_BAS_4_5), isto é, quantas matriculas de 4 e 5 anos há no município. Ao se utilizar essa variável, (CO_MUNICÍPIO), contabiliza-se estudantes que estudam em município diferentes dos que residem, podendo acarretar em cobertura acima de 100%. Até novembro de 2024, os dados municipais provenientes do último Censo Demográfico 2022 não foram divulgados pelo IBGE.</w:t>
            </w:r>
          </w:p>
        </w:tc>
      </w:tr>
      <w:tr w14:paraId="4721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4"/>
          </w:tcPr>
          <w:p w14:paraId="62E18D1A">
            <w:pPr>
              <w:spacing w:after="0" w:line="240" w:lineRule="auto"/>
            </w:pPr>
            <w:r>
              <w:t>Vantagens</w:t>
            </w:r>
          </w:p>
        </w:tc>
        <w:tc>
          <w:tcPr>
            <w:tcW w:w="6498" w:type="dxa"/>
            <w:gridSpan w:val="2"/>
          </w:tcPr>
          <w:p w14:paraId="2F0C6E6E">
            <w:pPr>
              <w:pStyle w:val="16"/>
              <w:spacing w:after="0" w:line="240" w:lineRule="auto"/>
              <w:jc w:val="both"/>
            </w:pPr>
            <w:r>
              <w:t>Proporciona acompanhar o desempenho da cobertura de matrículas dos municípios paranaenses de modo desagregado e anual, via fonte alternativa de dados.</w:t>
            </w:r>
          </w:p>
        </w:tc>
      </w:tr>
    </w:tbl>
    <w:p w14:paraId="6EDE16E6"/>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183"/>
        <w:gridCol w:w="1182"/>
        <w:gridCol w:w="1182"/>
        <w:gridCol w:w="1182"/>
        <w:gridCol w:w="1182"/>
        <w:gridCol w:w="1182"/>
        <w:gridCol w:w="1182"/>
        <w:gridCol w:w="1182"/>
        <w:gridCol w:w="1182"/>
        <w:gridCol w:w="1101"/>
      </w:tblGrid>
      <w:tr w14:paraId="34FD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5" w:type="dxa"/>
            <w:gridSpan w:val="10"/>
          </w:tcPr>
          <w:p w14:paraId="3206B082">
            <w:pPr>
              <w:spacing w:after="0" w:line="240" w:lineRule="auto"/>
              <w:jc w:val="center"/>
              <w:rPr>
                <w:b/>
              </w:rPr>
            </w:pPr>
            <w:r>
              <w:rPr>
                <w:b/>
              </w:rPr>
              <w:t>Dados/Indicadores: Indicador 1A</w:t>
            </w:r>
          </w:p>
        </w:tc>
        <w:tc>
          <w:tcPr>
            <w:tcW w:w="1101" w:type="dxa"/>
          </w:tcPr>
          <w:p w14:paraId="62F36FD1">
            <w:pPr>
              <w:spacing w:after="0" w:line="240" w:lineRule="auto"/>
            </w:pPr>
          </w:p>
        </w:tc>
      </w:tr>
      <w:tr w14:paraId="3504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tcPr>
          <w:p w14:paraId="1CF500FB">
            <w:pPr>
              <w:spacing w:after="0" w:line="240" w:lineRule="auto"/>
            </w:pPr>
            <w:r>
              <w:t>Ano</w:t>
            </w:r>
          </w:p>
        </w:tc>
        <w:tc>
          <w:tcPr>
            <w:tcW w:w="1183" w:type="dxa"/>
          </w:tcPr>
          <w:p w14:paraId="68226A1E">
            <w:pPr>
              <w:spacing w:after="0" w:line="240" w:lineRule="auto"/>
            </w:pPr>
            <w:r>
              <w:t>2014</w:t>
            </w:r>
          </w:p>
        </w:tc>
        <w:tc>
          <w:tcPr>
            <w:tcW w:w="1182" w:type="dxa"/>
          </w:tcPr>
          <w:p w14:paraId="34A413A6">
            <w:pPr>
              <w:spacing w:after="0" w:line="240" w:lineRule="auto"/>
            </w:pPr>
            <w:r>
              <w:t>2015</w:t>
            </w:r>
          </w:p>
        </w:tc>
        <w:tc>
          <w:tcPr>
            <w:tcW w:w="1182" w:type="dxa"/>
          </w:tcPr>
          <w:p w14:paraId="7C62B25A">
            <w:pPr>
              <w:spacing w:after="0" w:line="240" w:lineRule="auto"/>
            </w:pPr>
            <w:r>
              <w:t>2016</w:t>
            </w:r>
          </w:p>
        </w:tc>
        <w:tc>
          <w:tcPr>
            <w:tcW w:w="1182" w:type="dxa"/>
          </w:tcPr>
          <w:p w14:paraId="4A07BF03">
            <w:pPr>
              <w:spacing w:after="0" w:line="240" w:lineRule="auto"/>
            </w:pPr>
            <w:r>
              <w:t>2017</w:t>
            </w:r>
          </w:p>
        </w:tc>
        <w:tc>
          <w:tcPr>
            <w:tcW w:w="1182" w:type="dxa"/>
          </w:tcPr>
          <w:p w14:paraId="49B9BCB4">
            <w:pPr>
              <w:spacing w:after="0" w:line="240" w:lineRule="auto"/>
            </w:pPr>
            <w:r>
              <w:t>2018</w:t>
            </w:r>
          </w:p>
        </w:tc>
        <w:tc>
          <w:tcPr>
            <w:tcW w:w="1182" w:type="dxa"/>
          </w:tcPr>
          <w:p w14:paraId="6832074B">
            <w:pPr>
              <w:spacing w:after="0" w:line="240" w:lineRule="auto"/>
            </w:pPr>
            <w:r>
              <w:t>2019</w:t>
            </w:r>
          </w:p>
        </w:tc>
        <w:tc>
          <w:tcPr>
            <w:tcW w:w="1182" w:type="dxa"/>
          </w:tcPr>
          <w:p w14:paraId="337BB2E2">
            <w:pPr>
              <w:spacing w:after="0" w:line="240" w:lineRule="auto"/>
            </w:pPr>
            <w:r>
              <w:t>2020</w:t>
            </w:r>
          </w:p>
        </w:tc>
        <w:tc>
          <w:tcPr>
            <w:tcW w:w="1182" w:type="dxa"/>
          </w:tcPr>
          <w:p w14:paraId="6933076D">
            <w:pPr>
              <w:spacing w:after="0" w:line="240" w:lineRule="auto"/>
            </w:pPr>
            <w:r>
              <w:t>2021</w:t>
            </w:r>
          </w:p>
        </w:tc>
        <w:tc>
          <w:tcPr>
            <w:tcW w:w="1182" w:type="dxa"/>
          </w:tcPr>
          <w:p w14:paraId="77B40A5B">
            <w:pPr>
              <w:spacing w:after="0" w:line="240" w:lineRule="auto"/>
            </w:pPr>
            <w:r>
              <w:t>2022</w:t>
            </w:r>
          </w:p>
        </w:tc>
        <w:tc>
          <w:tcPr>
            <w:tcW w:w="1101" w:type="dxa"/>
          </w:tcPr>
          <w:p w14:paraId="32F24029">
            <w:pPr>
              <w:spacing w:after="0" w:line="240" w:lineRule="auto"/>
            </w:pPr>
            <w:r>
              <w:t>2023</w:t>
            </w:r>
          </w:p>
        </w:tc>
      </w:tr>
      <w:tr w14:paraId="65B5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tcPr>
          <w:p w14:paraId="6695488B">
            <w:pPr>
              <w:spacing w:after="0" w:line="240" w:lineRule="auto"/>
            </w:pPr>
            <w:r>
              <w:t>Indicador</w:t>
            </w:r>
          </w:p>
        </w:tc>
        <w:tc>
          <w:tcPr>
            <w:tcW w:w="1183" w:type="dxa"/>
          </w:tcPr>
          <w:p w14:paraId="7A7EC7DF">
            <w:pPr>
              <w:spacing w:after="0" w:line="240" w:lineRule="auto"/>
            </w:pPr>
            <w:r>
              <w:t>69,5%</w:t>
            </w:r>
          </w:p>
        </w:tc>
        <w:tc>
          <w:tcPr>
            <w:tcW w:w="1182" w:type="dxa"/>
          </w:tcPr>
          <w:p w14:paraId="0E4AE9F9">
            <w:pPr>
              <w:spacing w:after="0" w:line="240" w:lineRule="auto"/>
            </w:pPr>
            <w:r>
              <w:t>69,8%</w:t>
            </w:r>
          </w:p>
        </w:tc>
        <w:tc>
          <w:tcPr>
            <w:tcW w:w="1182" w:type="dxa"/>
          </w:tcPr>
          <w:p w14:paraId="51A9325C">
            <w:pPr>
              <w:spacing w:after="0" w:line="240" w:lineRule="auto"/>
            </w:pPr>
            <w:r>
              <w:t>72,5%</w:t>
            </w:r>
          </w:p>
        </w:tc>
        <w:tc>
          <w:tcPr>
            <w:tcW w:w="1182" w:type="dxa"/>
          </w:tcPr>
          <w:p w14:paraId="30655B63">
            <w:pPr>
              <w:spacing w:after="0" w:line="240" w:lineRule="auto"/>
            </w:pPr>
            <w:r>
              <w:t>75,6%</w:t>
            </w:r>
          </w:p>
        </w:tc>
        <w:tc>
          <w:tcPr>
            <w:tcW w:w="1182" w:type="dxa"/>
          </w:tcPr>
          <w:p w14:paraId="176DB67B">
            <w:pPr>
              <w:spacing w:after="0" w:line="240" w:lineRule="auto"/>
            </w:pPr>
            <w:r>
              <w:t>86,2%</w:t>
            </w:r>
          </w:p>
        </w:tc>
        <w:tc>
          <w:tcPr>
            <w:tcW w:w="1182" w:type="dxa"/>
          </w:tcPr>
          <w:p w14:paraId="5037B99F">
            <w:pPr>
              <w:spacing w:after="0" w:line="240" w:lineRule="auto"/>
            </w:pPr>
            <w:r>
              <w:t>97,6%</w:t>
            </w:r>
          </w:p>
        </w:tc>
        <w:tc>
          <w:tcPr>
            <w:tcW w:w="1182" w:type="dxa"/>
          </w:tcPr>
          <w:p w14:paraId="74880429">
            <w:pPr>
              <w:spacing w:after="0" w:line="240" w:lineRule="auto"/>
            </w:pPr>
            <w:r>
              <w:t>76,6%</w:t>
            </w:r>
          </w:p>
        </w:tc>
        <w:tc>
          <w:tcPr>
            <w:tcW w:w="1182" w:type="dxa"/>
          </w:tcPr>
          <w:p w14:paraId="01ABC7E3">
            <w:pPr>
              <w:spacing w:after="0" w:line="240" w:lineRule="auto"/>
            </w:pPr>
            <w:r>
              <w:t>101,1%</w:t>
            </w:r>
          </w:p>
        </w:tc>
        <w:tc>
          <w:tcPr>
            <w:tcW w:w="1182" w:type="dxa"/>
          </w:tcPr>
          <w:p w14:paraId="7EFCD6E0">
            <w:pPr>
              <w:spacing w:after="0" w:line="240" w:lineRule="auto"/>
            </w:pPr>
            <w:r>
              <w:t>92,8%</w:t>
            </w:r>
          </w:p>
        </w:tc>
        <w:tc>
          <w:tcPr>
            <w:tcW w:w="1101" w:type="dxa"/>
          </w:tcPr>
          <w:p w14:paraId="51B96331">
            <w:pPr>
              <w:spacing w:after="0" w:line="240" w:lineRule="auto"/>
            </w:pPr>
            <w:r>
              <w:t>*</w:t>
            </w:r>
          </w:p>
        </w:tc>
      </w:tr>
      <w:tr w14:paraId="3E19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6" w:type="dxa"/>
            <w:gridSpan w:val="11"/>
          </w:tcPr>
          <w:p w14:paraId="7DAE66C4">
            <w:pPr>
              <w:spacing w:after="0" w:line="240" w:lineRule="auto"/>
              <w:jc w:val="center"/>
            </w:pPr>
            <w:r>
              <w:t>Fonte: IPARDES – Projeção da População dos Municípios do Paraná – Revisão 2018 (Tabulações Especiais PNE)</w:t>
            </w:r>
          </w:p>
        </w:tc>
      </w:tr>
      <w:tr w14:paraId="4A68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6" w:type="dxa"/>
            <w:gridSpan w:val="11"/>
          </w:tcPr>
          <w:p w14:paraId="70C4F9F0">
            <w:pPr>
              <w:spacing w:after="0" w:line="240" w:lineRule="auto"/>
              <w:jc w:val="center"/>
            </w:pPr>
            <w:r>
              <w:t>Fonte INEP – Censo Escolar Educação Básica</w:t>
            </w:r>
          </w:p>
        </w:tc>
      </w:tr>
    </w:tbl>
    <w:p w14:paraId="2D7D8C46"/>
    <w:p w14:paraId="6F6CE615"/>
    <w:tbl>
      <w:tblPr>
        <w:tblStyle w:val="9"/>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
        <w:gridCol w:w="1163"/>
        <w:gridCol w:w="1183"/>
        <w:gridCol w:w="1182"/>
        <w:gridCol w:w="1182"/>
        <w:gridCol w:w="1182"/>
        <w:gridCol w:w="580"/>
        <w:gridCol w:w="14"/>
        <w:gridCol w:w="9"/>
        <w:gridCol w:w="579"/>
        <w:gridCol w:w="1182"/>
        <w:gridCol w:w="1182"/>
        <w:gridCol w:w="1182"/>
        <w:gridCol w:w="1182"/>
        <w:gridCol w:w="1188"/>
        <w:gridCol w:w="3"/>
      </w:tblGrid>
      <w:tr w14:paraId="03E7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3" w:type="dxa"/>
          <w:wAfter w:w="3" w:type="dxa"/>
        </w:trPr>
        <w:tc>
          <w:tcPr>
            <w:tcW w:w="12990" w:type="dxa"/>
            <w:gridSpan w:val="14"/>
          </w:tcPr>
          <w:p w14:paraId="509EBF2B">
            <w:pPr>
              <w:pStyle w:val="16"/>
              <w:numPr>
                <w:ilvl w:val="0"/>
                <w:numId w:val="0"/>
              </w:numPr>
              <w:jc w:val="center"/>
              <w:rPr>
                <w:rFonts w:hint="default"/>
                <w:b/>
                <w:vertAlign w:val="baseline"/>
                <w:lang w:val="pt-BR"/>
              </w:rPr>
            </w:pPr>
            <w:r>
              <w:rPr>
                <w:rFonts w:hint="default"/>
                <w:b/>
                <w:vertAlign w:val="baseline"/>
                <w:lang w:val="pt-BR"/>
              </w:rPr>
              <w:t>Ficha metodológica para o indicador 1B - base PNE</w:t>
            </w:r>
          </w:p>
        </w:tc>
      </w:tr>
      <w:tr w14:paraId="4C1C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3" w:type="dxa"/>
          <w:wAfter w:w="3" w:type="dxa"/>
        </w:trPr>
        <w:tc>
          <w:tcPr>
            <w:tcW w:w="6472" w:type="dxa"/>
            <w:gridSpan w:val="6"/>
            <w:tcBorders>
              <w:top w:val="outset" w:color="auto" w:sz="6" w:space="0"/>
              <w:left w:val="outset" w:color="auto" w:sz="6" w:space="0"/>
              <w:bottom w:val="outset" w:color="auto" w:sz="6" w:space="0"/>
              <w:right w:val="outset" w:color="auto" w:sz="6" w:space="0"/>
            </w:tcBorders>
          </w:tcPr>
          <w:p w14:paraId="0487D982">
            <w:pPr>
              <w:spacing w:after="160" w:line="259" w:lineRule="auto"/>
              <w:rPr>
                <w:b/>
              </w:rPr>
            </w:pPr>
            <w:r>
              <w:t xml:space="preserve"> </w:t>
            </w:r>
            <w:r>
              <w:rPr>
                <w:b/>
              </w:rPr>
              <w:t>Meta</w:t>
            </w:r>
          </w:p>
        </w:tc>
        <w:tc>
          <w:tcPr>
            <w:tcW w:w="6518" w:type="dxa"/>
            <w:gridSpan w:val="8"/>
            <w:tcBorders>
              <w:top w:val="outset" w:color="auto" w:sz="6" w:space="0"/>
              <w:left w:val="outset" w:color="auto" w:sz="6" w:space="0"/>
              <w:bottom w:val="outset" w:color="auto" w:sz="6" w:space="0"/>
              <w:right w:val="outset" w:color="auto" w:sz="6" w:space="0"/>
            </w:tcBorders>
          </w:tcPr>
          <w:p w14:paraId="7C6E83C1">
            <w:pPr>
              <w:spacing w:after="160" w:line="259" w:lineRule="auto"/>
              <w:rPr>
                <w:b/>
              </w:rPr>
            </w:pPr>
            <w:r>
              <w:rPr>
                <w:b/>
              </w:rPr>
              <w:t>Texto da meta</w:t>
            </w:r>
          </w:p>
        </w:tc>
      </w:tr>
      <w:tr w14:paraId="0835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3" w:type="dxa"/>
          <w:wAfter w:w="3" w:type="dxa"/>
        </w:trPr>
        <w:tc>
          <w:tcPr>
            <w:tcW w:w="6472" w:type="dxa"/>
            <w:gridSpan w:val="6"/>
            <w:tcBorders>
              <w:top w:val="nil"/>
              <w:left w:val="outset" w:color="auto" w:sz="6" w:space="0"/>
              <w:bottom w:val="outset" w:color="auto" w:sz="6" w:space="0"/>
              <w:right w:val="outset" w:color="auto" w:sz="6" w:space="0"/>
            </w:tcBorders>
          </w:tcPr>
          <w:p w14:paraId="6CA81E30">
            <w:pPr>
              <w:spacing w:after="160" w:line="259" w:lineRule="auto"/>
            </w:pPr>
            <w:r>
              <w:t>1</w:t>
            </w:r>
          </w:p>
          <w:p w14:paraId="4CA128D2">
            <w:pPr>
              <w:spacing w:after="160" w:line="259" w:lineRule="auto"/>
            </w:pPr>
          </w:p>
          <w:p w14:paraId="3E12F3C0">
            <w:pPr>
              <w:spacing w:after="160" w:line="259" w:lineRule="auto"/>
            </w:pPr>
          </w:p>
          <w:p w14:paraId="5D06116A">
            <w:pPr>
              <w:spacing w:after="160" w:line="259" w:lineRule="auto"/>
            </w:pPr>
          </w:p>
        </w:tc>
        <w:tc>
          <w:tcPr>
            <w:tcW w:w="6518" w:type="dxa"/>
            <w:gridSpan w:val="8"/>
            <w:tcBorders>
              <w:top w:val="nil"/>
              <w:left w:val="outset" w:color="auto" w:sz="6" w:space="0"/>
              <w:bottom w:val="outset" w:color="auto" w:sz="6" w:space="0"/>
              <w:right w:val="outset" w:color="auto" w:sz="6" w:space="0"/>
            </w:tcBorders>
          </w:tcPr>
          <w:p w14:paraId="3C94F2C7">
            <w:pPr>
              <w:spacing w:after="160" w:line="259" w:lineRule="auto"/>
              <w:jc w:val="both"/>
              <w:rPr>
                <w:bCs/>
              </w:rPr>
            </w:pPr>
            <w:r>
              <w:rPr>
                <w:bCs/>
              </w:rPr>
              <w:t>Universalizar, até 2016, a Educação Infantil na Pré-Escola para as Crianças de 4 a 5 anos de idade. Ofertar a partir do 5º ano de Vigência do PME em até 50% o atendimento em Creches para Crianças de 18 meses a 3 anos e aumentar gradativamente até o final do plano o atendimento para crianças a partir do 4º mês de vida.</w:t>
            </w:r>
          </w:p>
          <w:p w14:paraId="76D6A837">
            <w:pPr>
              <w:spacing w:after="160" w:line="259" w:lineRule="auto"/>
              <w:jc w:val="both"/>
              <w:rPr>
                <w:bCs/>
              </w:rPr>
            </w:pPr>
            <w:r>
              <w:rPr>
                <w:b/>
                <w:bCs/>
              </w:rPr>
              <w:t>Nota técnica:</w:t>
            </w:r>
            <w:r>
              <w:rPr>
                <w:bCs/>
              </w:rPr>
              <w:t xml:space="preserve"> Após estudos e análise, do Plano Municipal de Educação, pela Equipe técnica de Avaliação, e Comissão Coordenadora notou-se que, o texto descrito nesta estratégia precisa ser reformulado devido à questão da idade para o atendimento das crianças no CMEI.</w:t>
            </w:r>
          </w:p>
          <w:p w14:paraId="6DD273E0">
            <w:pPr>
              <w:spacing w:after="160" w:line="259" w:lineRule="auto"/>
              <w:jc w:val="both"/>
              <w:rPr>
                <w:i/>
              </w:rPr>
            </w:pPr>
            <w:r>
              <w:rPr>
                <w:bCs/>
              </w:rPr>
              <w:t>Deste modo, os avaliadores do PME, deliberaram que a redação desta estratégia 1.2 PASSA A SER: “Oferta gradativamente a partir do 5º ano de vigência do PME o atendimento as crianças de 0(zero) a 3(três) anos, na medida que houver estrutura física, material necessário e profissionais capacitados para a área.”</w:t>
            </w:r>
          </w:p>
        </w:tc>
      </w:tr>
      <w:tr w14:paraId="54F3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89" w:type="dxa"/>
            <w:gridSpan w:val="8"/>
            <w:tcBorders>
              <w:top w:val="outset" w:color="auto" w:sz="6" w:space="0"/>
              <w:left w:val="outset" w:color="auto" w:sz="6" w:space="0"/>
              <w:bottom w:val="outset" w:color="auto" w:sz="6" w:space="0"/>
              <w:right w:val="outset" w:color="auto" w:sz="6" w:space="0"/>
            </w:tcBorders>
          </w:tcPr>
          <w:p w14:paraId="39E4E5D6">
            <w:pPr>
              <w:spacing w:after="160" w:line="259" w:lineRule="auto"/>
            </w:pPr>
            <w:r>
              <w:t>Indicador 1 B Nacional</w:t>
            </w:r>
          </w:p>
        </w:tc>
        <w:tc>
          <w:tcPr>
            <w:tcW w:w="6507" w:type="dxa"/>
            <w:gridSpan w:val="8"/>
            <w:tcBorders>
              <w:top w:val="outset" w:color="auto" w:sz="6" w:space="0"/>
              <w:left w:val="outset" w:color="auto" w:sz="6" w:space="0"/>
              <w:bottom w:val="outset" w:color="auto" w:sz="6" w:space="0"/>
              <w:right w:val="outset" w:color="auto" w:sz="6" w:space="0"/>
            </w:tcBorders>
          </w:tcPr>
          <w:p w14:paraId="1B1059B5">
            <w:pPr>
              <w:spacing w:after="160" w:line="259" w:lineRule="auto"/>
            </w:pPr>
            <w:r>
              <w:t>Percentual de pessoas de 4 a 5 anos matriculadas na pré-escola</w:t>
            </w:r>
          </w:p>
        </w:tc>
      </w:tr>
      <w:tr w14:paraId="6169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89" w:type="dxa"/>
            <w:gridSpan w:val="8"/>
            <w:tcBorders>
              <w:top w:val="outset" w:color="auto" w:sz="6" w:space="0"/>
              <w:left w:val="outset" w:color="auto" w:sz="6" w:space="0"/>
              <w:bottom w:val="outset" w:color="auto" w:sz="6" w:space="0"/>
              <w:right w:val="outset" w:color="auto" w:sz="6" w:space="0"/>
            </w:tcBorders>
          </w:tcPr>
          <w:p w14:paraId="63170693">
            <w:pPr>
              <w:spacing w:after="0" w:line="240" w:lineRule="auto"/>
            </w:pPr>
            <w:r>
              <w:t>Indicador 1 B Proposto</w:t>
            </w:r>
          </w:p>
        </w:tc>
        <w:tc>
          <w:tcPr>
            <w:tcW w:w="6507" w:type="dxa"/>
            <w:gridSpan w:val="8"/>
            <w:tcBorders>
              <w:top w:val="outset" w:color="auto" w:sz="6" w:space="0"/>
              <w:left w:val="outset" w:color="auto" w:sz="6" w:space="0"/>
              <w:bottom w:val="outset" w:color="auto" w:sz="6" w:space="0"/>
              <w:right w:val="outset" w:color="auto" w:sz="6" w:space="0"/>
            </w:tcBorders>
          </w:tcPr>
          <w:p w14:paraId="3D856AEA">
            <w:pPr>
              <w:spacing w:after="0" w:line="240" w:lineRule="auto"/>
            </w:pPr>
            <w:r>
              <w:t>Proporção de pessoas de 4 a 5 anos matriculadas na pré-escola</w:t>
            </w:r>
          </w:p>
        </w:tc>
      </w:tr>
      <w:tr w14:paraId="08BB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89" w:type="dxa"/>
            <w:gridSpan w:val="8"/>
            <w:tcBorders>
              <w:top w:val="nil"/>
              <w:left w:val="outset" w:color="auto" w:sz="6" w:space="0"/>
              <w:bottom w:val="outset" w:color="auto" w:sz="6" w:space="0"/>
              <w:right w:val="outset" w:color="auto" w:sz="6" w:space="0"/>
            </w:tcBorders>
          </w:tcPr>
          <w:p w14:paraId="0BE131A2">
            <w:pPr>
              <w:spacing w:after="160" w:line="259" w:lineRule="auto"/>
            </w:pPr>
            <w:r>
              <w:t>Conceitos e definições</w:t>
            </w:r>
          </w:p>
        </w:tc>
        <w:tc>
          <w:tcPr>
            <w:tcW w:w="6507" w:type="dxa"/>
            <w:gridSpan w:val="8"/>
            <w:tcBorders>
              <w:top w:val="nil"/>
              <w:left w:val="outset" w:color="auto" w:sz="6" w:space="0"/>
              <w:bottom w:val="outset" w:color="auto" w:sz="6" w:space="0"/>
              <w:right w:val="outset" w:color="auto" w:sz="6" w:space="0"/>
            </w:tcBorders>
          </w:tcPr>
          <w:p w14:paraId="22986E40">
            <w:pPr>
              <w:spacing w:after="160" w:line="259" w:lineRule="auto"/>
              <w:jc w:val="both"/>
            </w:pPr>
            <w:r>
              <w:t>Percentual de crianças de 4 e 5 anos que estão matriculadas na pré-escola no município. Mede a taxa líquida de atendimento no município na faixa etária.</w:t>
            </w:r>
          </w:p>
        </w:tc>
      </w:tr>
      <w:tr w14:paraId="2600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89" w:type="dxa"/>
            <w:gridSpan w:val="8"/>
            <w:tcBorders>
              <w:top w:val="nil"/>
              <w:left w:val="outset" w:color="auto" w:sz="6" w:space="0"/>
              <w:bottom w:val="outset" w:color="auto" w:sz="6" w:space="0"/>
              <w:right w:val="outset" w:color="auto" w:sz="6" w:space="0"/>
            </w:tcBorders>
          </w:tcPr>
          <w:p w14:paraId="0C90C047">
            <w:pPr>
              <w:spacing w:after="160" w:line="259" w:lineRule="auto"/>
            </w:pPr>
            <w:r>
              <w:t>Fórmula de cálculo</w:t>
            </w:r>
          </w:p>
        </w:tc>
        <w:tc>
          <w:tcPr>
            <w:tcW w:w="6507" w:type="dxa"/>
            <w:gridSpan w:val="8"/>
            <w:tcBorders>
              <w:top w:val="nil"/>
              <w:left w:val="outset" w:color="auto" w:sz="6" w:space="0"/>
              <w:bottom w:val="outset" w:color="auto" w:sz="6" w:space="0"/>
              <w:right w:val="outset" w:color="auto" w:sz="6" w:space="0"/>
            </w:tcBorders>
          </w:tcPr>
          <w:p w14:paraId="18DA823B">
            <w:pPr>
              <w:spacing w:after="160" w:line="259" w:lineRule="auto"/>
            </w:pPr>
            <w:r>
              <w:t>(Número de pessoas de 4 e 5 anos matriculadas na pré-escola / Número total de pessoas de 4 e 5 anos) X 100</w:t>
            </w:r>
          </w:p>
        </w:tc>
      </w:tr>
      <w:tr w14:paraId="068F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89" w:type="dxa"/>
            <w:gridSpan w:val="8"/>
            <w:tcBorders>
              <w:top w:val="nil"/>
              <w:left w:val="outset" w:color="auto" w:sz="6" w:space="0"/>
              <w:bottom w:val="outset" w:color="auto" w:sz="6" w:space="0"/>
              <w:right w:val="outset" w:color="auto" w:sz="6" w:space="0"/>
            </w:tcBorders>
          </w:tcPr>
          <w:p w14:paraId="63922094">
            <w:pPr>
              <w:spacing w:after="160" w:line="259" w:lineRule="auto"/>
            </w:pPr>
            <w:r>
              <w:t>Unidade de medida</w:t>
            </w:r>
          </w:p>
        </w:tc>
        <w:tc>
          <w:tcPr>
            <w:tcW w:w="6507" w:type="dxa"/>
            <w:gridSpan w:val="8"/>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1272"/>
            </w:tblGrid>
            <w:tr w14:paraId="74AC5DE5">
              <w:tblPrEx>
                <w:tblCellMar>
                  <w:top w:w="15" w:type="dxa"/>
                  <w:left w:w="15" w:type="dxa"/>
                  <w:bottom w:w="15" w:type="dxa"/>
                  <w:right w:w="15" w:type="dxa"/>
                </w:tblCellMar>
              </w:tblPrEx>
              <w:tc>
                <w:tcPr>
                  <w:tcW w:w="0" w:type="auto"/>
                  <w:tcBorders>
                    <w:top w:val="nil"/>
                    <w:left w:val="nil"/>
                    <w:bottom w:val="nil"/>
                    <w:right w:val="nil"/>
                  </w:tcBorders>
                </w:tcPr>
                <w:p w14:paraId="61801691">
                  <w:r>
                    <w:t>% de pessoas.</w:t>
                  </w:r>
                </w:p>
              </w:tc>
            </w:tr>
          </w:tbl>
          <w:p w14:paraId="32DB5400">
            <w:pPr>
              <w:spacing w:after="160" w:line="259" w:lineRule="auto"/>
            </w:pPr>
          </w:p>
        </w:tc>
      </w:tr>
      <w:tr w14:paraId="41B4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9"/>
          </w:tcPr>
          <w:p w14:paraId="62C6B5F3">
            <w:pPr>
              <w:spacing w:after="0" w:line="240" w:lineRule="auto"/>
            </w:pPr>
            <w:r>
              <w:t xml:space="preserve"> Variáveis que compõem o indicador, suas respectivas fontes e instituições produtoras.</w:t>
            </w:r>
          </w:p>
        </w:tc>
        <w:tc>
          <w:tcPr>
            <w:tcW w:w="6498" w:type="dxa"/>
            <w:gridSpan w:val="7"/>
          </w:tcPr>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2091"/>
              <w:gridCol w:w="2091"/>
            </w:tblGrid>
            <w:tr w14:paraId="48C8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F9FE748">
                  <w:pPr>
                    <w:spacing w:after="0" w:line="240" w:lineRule="auto"/>
                  </w:pPr>
                  <w:r>
                    <w:t>Variáveis</w:t>
                  </w:r>
                </w:p>
              </w:tc>
              <w:tc>
                <w:tcPr>
                  <w:tcW w:w="2091" w:type="dxa"/>
                </w:tcPr>
                <w:p w14:paraId="62357285">
                  <w:pPr>
                    <w:spacing w:after="0" w:line="240" w:lineRule="auto"/>
                  </w:pPr>
                  <w:r>
                    <w:t>Fontes</w:t>
                  </w:r>
                </w:p>
              </w:tc>
              <w:tc>
                <w:tcPr>
                  <w:tcW w:w="2091" w:type="dxa"/>
                </w:tcPr>
                <w:p w14:paraId="38F20480">
                  <w:pPr>
                    <w:spacing w:after="0" w:line="240" w:lineRule="auto"/>
                  </w:pPr>
                  <w:r>
                    <w:t>Instituições</w:t>
                  </w:r>
                </w:p>
              </w:tc>
            </w:tr>
            <w:tr w14:paraId="5BE2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6C8A8B51">
                  <w:pPr>
                    <w:spacing w:after="0" w:line="240" w:lineRule="auto"/>
                  </w:pPr>
                  <w:r>
                    <w:t>População total de 4 e 5 anos de idade</w:t>
                  </w:r>
                </w:p>
              </w:tc>
              <w:tc>
                <w:tcPr>
                  <w:tcW w:w="2091" w:type="dxa"/>
                </w:tcPr>
                <w:p w14:paraId="36CFBDB8">
                  <w:pPr>
                    <w:spacing w:after="0" w:line="240" w:lineRule="auto"/>
                  </w:pPr>
                  <w:r>
                    <w:t>Projeção Populacional dos municípios Paranaenses (revisão 2018)</w:t>
                  </w:r>
                </w:p>
              </w:tc>
              <w:tc>
                <w:tcPr>
                  <w:tcW w:w="2091" w:type="dxa"/>
                </w:tcPr>
                <w:p w14:paraId="44DC55AA">
                  <w:pPr>
                    <w:spacing w:after="0" w:line="240" w:lineRule="auto"/>
                  </w:pPr>
                  <w:r>
                    <w:t>IPARDES</w:t>
                  </w:r>
                </w:p>
              </w:tc>
            </w:tr>
            <w:tr w14:paraId="44D7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DEC2FA9">
                  <w:pPr>
                    <w:spacing w:after="0" w:line="240" w:lineRule="auto"/>
                  </w:pPr>
                  <w:r>
                    <w:t>CO_MUNICIPIO</w:t>
                  </w:r>
                </w:p>
              </w:tc>
              <w:tc>
                <w:tcPr>
                  <w:tcW w:w="2091" w:type="dxa"/>
                </w:tcPr>
                <w:p w14:paraId="337C054D">
                  <w:pPr>
                    <w:spacing w:after="0" w:line="240" w:lineRule="auto"/>
                  </w:pPr>
                  <w:r>
                    <w:t>Censo Escolar</w:t>
                  </w:r>
                </w:p>
              </w:tc>
              <w:tc>
                <w:tcPr>
                  <w:tcW w:w="2091" w:type="dxa"/>
                </w:tcPr>
                <w:p w14:paraId="64124968">
                  <w:pPr>
                    <w:spacing w:after="0" w:line="240" w:lineRule="auto"/>
                  </w:pPr>
                  <w:r>
                    <w:t>INEP</w:t>
                  </w:r>
                </w:p>
              </w:tc>
            </w:tr>
            <w:tr w14:paraId="4A4F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51306042">
                  <w:pPr>
                    <w:spacing w:after="0" w:line="240" w:lineRule="auto"/>
                  </w:pPr>
                  <w:r>
                    <w:t>QT_MAT_BAS_4_5</w:t>
                  </w:r>
                </w:p>
              </w:tc>
              <w:tc>
                <w:tcPr>
                  <w:tcW w:w="2091" w:type="dxa"/>
                </w:tcPr>
                <w:p w14:paraId="3C86FD81">
                  <w:pPr>
                    <w:spacing w:after="0" w:line="240" w:lineRule="auto"/>
                  </w:pPr>
                  <w:r>
                    <w:t>Censo Escolar</w:t>
                  </w:r>
                </w:p>
              </w:tc>
              <w:tc>
                <w:tcPr>
                  <w:tcW w:w="2091" w:type="dxa"/>
                </w:tcPr>
                <w:p w14:paraId="7EBF1C52">
                  <w:pPr>
                    <w:spacing w:after="0" w:line="240" w:lineRule="auto"/>
                  </w:pPr>
                  <w:r>
                    <w:t>INEP</w:t>
                  </w:r>
                </w:p>
              </w:tc>
            </w:tr>
          </w:tbl>
          <w:p w14:paraId="6345564A">
            <w:pPr>
              <w:spacing w:after="0" w:line="240" w:lineRule="auto"/>
            </w:pPr>
          </w:p>
        </w:tc>
      </w:tr>
      <w:tr w14:paraId="0576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9"/>
          </w:tcPr>
          <w:p w14:paraId="51A20538">
            <w:pPr>
              <w:spacing w:after="0" w:line="240" w:lineRule="auto"/>
            </w:pPr>
            <w:r>
              <w:t>Níveis de Desagregação</w:t>
            </w:r>
          </w:p>
        </w:tc>
        <w:tc>
          <w:tcPr>
            <w:tcW w:w="6498" w:type="dxa"/>
            <w:gridSpan w:val="7"/>
          </w:tcPr>
          <w:p w14:paraId="106838E9">
            <w:pPr>
              <w:spacing w:after="0" w:line="240" w:lineRule="auto"/>
            </w:pPr>
            <w:r>
              <w:t>Estado e Município</w:t>
            </w:r>
          </w:p>
        </w:tc>
      </w:tr>
      <w:tr w14:paraId="3803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9"/>
          </w:tcPr>
          <w:p w14:paraId="55FDC5FB">
            <w:pPr>
              <w:spacing w:after="0" w:line="240" w:lineRule="auto"/>
            </w:pPr>
            <w:r>
              <w:t>Periodicidade de atualização</w:t>
            </w:r>
          </w:p>
        </w:tc>
        <w:tc>
          <w:tcPr>
            <w:tcW w:w="6498" w:type="dxa"/>
            <w:gridSpan w:val="7"/>
          </w:tcPr>
          <w:p w14:paraId="2F6956D7">
            <w:pPr>
              <w:spacing w:after="0" w:line="240" w:lineRule="auto"/>
            </w:pPr>
            <w:r>
              <w:t>Anual</w:t>
            </w:r>
          </w:p>
        </w:tc>
      </w:tr>
      <w:tr w14:paraId="5DCD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9"/>
          </w:tcPr>
          <w:p w14:paraId="4C7E468B">
            <w:pPr>
              <w:spacing w:after="0" w:line="240" w:lineRule="auto"/>
            </w:pPr>
            <w:r>
              <w:t>Desvantagens</w:t>
            </w:r>
          </w:p>
        </w:tc>
        <w:tc>
          <w:tcPr>
            <w:tcW w:w="6498" w:type="dxa"/>
            <w:gridSpan w:val="7"/>
          </w:tcPr>
          <w:p w14:paraId="3DC79E84">
            <w:pPr>
              <w:pStyle w:val="16"/>
              <w:numPr>
                <w:ilvl w:val="0"/>
                <w:numId w:val="2"/>
              </w:numPr>
              <w:spacing w:after="0" w:line="240" w:lineRule="auto"/>
              <w:jc w:val="both"/>
            </w:pPr>
            <w:r>
              <w:t>Não segue a fonte oficial sugerida pelo Ministério (Censo Demográfico 2010 e PNAD), para o denominador. b)  Não é comparável com outros entes subnacionais. c)  É utilizado nesse cálculo, a variável de endereço da matrícula (CO_MUNICIPIO), isto é, onde a escola está localizada e a variável (QT_MAT_BAS_4_5), isto é, quantas matriculas de 4 e 5 anos há no município. Ao se utilizar essa variável, (CO_MUNICÍPIO), contabiliza-se estudantes que estudam em município diferentes dos que residem, podendo acarretar em cobertura acima de 100%. Até novembro de 2024, os dados municipais provenientes do último Censo Demográfico 2022 não foram divulgados pelo IBGE.</w:t>
            </w:r>
          </w:p>
        </w:tc>
      </w:tr>
      <w:tr w14:paraId="2E9B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9"/>
          </w:tcPr>
          <w:p w14:paraId="52C11893">
            <w:pPr>
              <w:spacing w:after="0" w:line="240" w:lineRule="auto"/>
            </w:pPr>
            <w:r>
              <w:t>Vantagens</w:t>
            </w:r>
          </w:p>
        </w:tc>
        <w:tc>
          <w:tcPr>
            <w:tcW w:w="6498" w:type="dxa"/>
            <w:gridSpan w:val="7"/>
          </w:tcPr>
          <w:p w14:paraId="4CF44412">
            <w:pPr>
              <w:pStyle w:val="16"/>
              <w:spacing w:after="0" w:line="240" w:lineRule="auto"/>
              <w:jc w:val="both"/>
            </w:pPr>
            <w:r>
              <w:t>Proporciona acompanhar o desempenho da cobertura de matrículas dos municípios paranaenses de modo desagregado e anual, via fonte alternativa de dados.</w:t>
            </w:r>
          </w:p>
        </w:tc>
      </w:tr>
      <w:tr w14:paraId="4E0D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5" w:type="dxa"/>
            <w:gridSpan w:val="14"/>
          </w:tcPr>
          <w:p w14:paraId="502BC1AA">
            <w:pPr>
              <w:spacing w:after="0" w:line="240" w:lineRule="auto"/>
              <w:jc w:val="center"/>
              <w:rPr>
                <w:b/>
              </w:rPr>
            </w:pPr>
            <w:r>
              <w:rPr>
                <w:b/>
              </w:rPr>
              <w:t>Dados/Indicadores: Indicador 1 B</w:t>
            </w:r>
          </w:p>
        </w:tc>
        <w:tc>
          <w:tcPr>
            <w:tcW w:w="1191" w:type="dxa"/>
            <w:gridSpan w:val="2"/>
          </w:tcPr>
          <w:p w14:paraId="17871ADF">
            <w:pPr>
              <w:spacing w:after="0" w:line="240" w:lineRule="auto"/>
            </w:pPr>
          </w:p>
        </w:tc>
      </w:tr>
      <w:tr w14:paraId="0031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2"/>
          </w:tcPr>
          <w:p w14:paraId="6E0ADF9B">
            <w:pPr>
              <w:spacing w:after="0" w:line="240" w:lineRule="auto"/>
            </w:pPr>
            <w:r>
              <w:t>Ano</w:t>
            </w:r>
          </w:p>
        </w:tc>
        <w:tc>
          <w:tcPr>
            <w:tcW w:w="1183" w:type="dxa"/>
          </w:tcPr>
          <w:p w14:paraId="102CDBD9">
            <w:pPr>
              <w:spacing w:after="0" w:line="240" w:lineRule="auto"/>
            </w:pPr>
            <w:r>
              <w:t>2014</w:t>
            </w:r>
          </w:p>
        </w:tc>
        <w:tc>
          <w:tcPr>
            <w:tcW w:w="1182" w:type="dxa"/>
          </w:tcPr>
          <w:p w14:paraId="3A9747D9">
            <w:pPr>
              <w:spacing w:after="0" w:line="240" w:lineRule="auto"/>
            </w:pPr>
            <w:r>
              <w:t>2015</w:t>
            </w:r>
          </w:p>
        </w:tc>
        <w:tc>
          <w:tcPr>
            <w:tcW w:w="1182" w:type="dxa"/>
          </w:tcPr>
          <w:p w14:paraId="77211763">
            <w:pPr>
              <w:spacing w:after="0" w:line="240" w:lineRule="auto"/>
            </w:pPr>
            <w:r>
              <w:t>2016</w:t>
            </w:r>
          </w:p>
        </w:tc>
        <w:tc>
          <w:tcPr>
            <w:tcW w:w="1182" w:type="dxa"/>
          </w:tcPr>
          <w:p w14:paraId="5C583AF2">
            <w:pPr>
              <w:spacing w:after="0" w:line="240" w:lineRule="auto"/>
            </w:pPr>
            <w:r>
              <w:t>2017</w:t>
            </w:r>
          </w:p>
        </w:tc>
        <w:tc>
          <w:tcPr>
            <w:tcW w:w="1182" w:type="dxa"/>
            <w:gridSpan w:val="4"/>
          </w:tcPr>
          <w:p w14:paraId="2C177827">
            <w:pPr>
              <w:spacing w:after="0" w:line="240" w:lineRule="auto"/>
            </w:pPr>
            <w:r>
              <w:t>2018</w:t>
            </w:r>
          </w:p>
        </w:tc>
        <w:tc>
          <w:tcPr>
            <w:tcW w:w="1182" w:type="dxa"/>
          </w:tcPr>
          <w:p w14:paraId="6110D77A">
            <w:pPr>
              <w:spacing w:after="0" w:line="240" w:lineRule="auto"/>
            </w:pPr>
            <w:r>
              <w:t>2019</w:t>
            </w:r>
          </w:p>
        </w:tc>
        <w:tc>
          <w:tcPr>
            <w:tcW w:w="1182" w:type="dxa"/>
          </w:tcPr>
          <w:p w14:paraId="31A5CC94">
            <w:pPr>
              <w:spacing w:after="0" w:line="240" w:lineRule="auto"/>
            </w:pPr>
            <w:r>
              <w:t>2020</w:t>
            </w:r>
          </w:p>
        </w:tc>
        <w:tc>
          <w:tcPr>
            <w:tcW w:w="1182" w:type="dxa"/>
          </w:tcPr>
          <w:p w14:paraId="52938A6A">
            <w:pPr>
              <w:spacing w:after="0" w:line="240" w:lineRule="auto"/>
            </w:pPr>
            <w:r>
              <w:t>2021</w:t>
            </w:r>
          </w:p>
        </w:tc>
        <w:tc>
          <w:tcPr>
            <w:tcW w:w="1182" w:type="dxa"/>
          </w:tcPr>
          <w:p w14:paraId="1D4B4D3E">
            <w:pPr>
              <w:spacing w:after="0" w:line="240" w:lineRule="auto"/>
            </w:pPr>
            <w:r>
              <w:t>2022</w:t>
            </w:r>
          </w:p>
        </w:tc>
        <w:tc>
          <w:tcPr>
            <w:tcW w:w="1191" w:type="dxa"/>
            <w:gridSpan w:val="2"/>
          </w:tcPr>
          <w:p w14:paraId="0588C549">
            <w:pPr>
              <w:spacing w:after="0" w:line="240" w:lineRule="auto"/>
            </w:pPr>
            <w:r>
              <w:t>2023</w:t>
            </w:r>
          </w:p>
        </w:tc>
      </w:tr>
      <w:tr w14:paraId="6002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2"/>
          </w:tcPr>
          <w:p w14:paraId="4036EF52">
            <w:pPr>
              <w:spacing w:after="0" w:line="240" w:lineRule="auto"/>
            </w:pPr>
            <w:r>
              <w:t>Indicador</w:t>
            </w:r>
          </w:p>
        </w:tc>
        <w:tc>
          <w:tcPr>
            <w:tcW w:w="1183" w:type="dxa"/>
          </w:tcPr>
          <w:p w14:paraId="5C1C1B70">
            <w:pPr>
              <w:spacing w:after="0" w:line="240" w:lineRule="auto"/>
            </w:pPr>
            <w:r>
              <w:t>0,4%</w:t>
            </w:r>
          </w:p>
        </w:tc>
        <w:tc>
          <w:tcPr>
            <w:tcW w:w="1182" w:type="dxa"/>
          </w:tcPr>
          <w:p w14:paraId="21C3265B">
            <w:pPr>
              <w:spacing w:after="0" w:line="240" w:lineRule="auto"/>
            </w:pPr>
            <w:r>
              <w:t>0,7%</w:t>
            </w:r>
          </w:p>
        </w:tc>
        <w:tc>
          <w:tcPr>
            <w:tcW w:w="1182" w:type="dxa"/>
          </w:tcPr>
          <w:p w14:paraId="430E7A61">
            <w:pPr>
              <w:spacing w:after="0" w:line="240" w:lineRule="auto"/>
            </w:pPr>
            <w:r>
              <w:t>0,4%</w:t>
            </w:r>
          </w:p>
        </w:tc>
        <w:tc>
          <w:tcPr>
            <w:tcW w:w="1182" w:type="dxa"/>
          </w:tcPr>
          <w:p w14:paraId="70A28805">
            <w:pPr>
              <w:spacing w:after="0" w:line="240" w:lineRule="auto"/>
            </w:pPr>
            <w:r>
              <w:t>0,7%</w:t>
            </w:r>
          </w:p>
        </w:tc>
        <w:tc>
          <w:tcPr>
            <w:tcW w:w="1182" w:type="dxa"/>
            <w:gridSpan w:val="4"/>
          </w:tcPr>
          <w:p w14:paraId="436D7BD7">
            <w:pPr>
              <w:spacing w:after="0" w:line="240" w:lineRule="auto"/>
            </w:pPr>
            <w:r>
              <w:t>0,7%</w:t>
            </w:r>
          </w:p>
        </w:tc>
        <w:tc>
          <w:tcPr>
            <w:tcW w:w="1182" w:type="dxa"/>
          </w:tcPr>
          <w:p w14:paraId="76FBEC59">
            <w:pPr>
              <w:spacing w:after="0" w:line="240" w:lineRule="auto"/>
            </w:pPr>
            <w:r>
              <w:t>31,2%</w:t>
            </w:r>
          </w:p>
        </w:tc>
        <w:tc>
          <w:tcPr>
            <w:tcW w:w="1182" w:type="dxa"/>
          </w:tcPr>
          <w:p w14:paraId="0FE2007C">
            <w:pPr>
              <w:spacing w:after="0" w:line="240" w:lineRule="auto"/>
            </w:pPr>
            <w:r>
              <w:t>28,1%</w:t>
            </w:r>
          </w:p>
        </w:tc>
        <w:tc>
          <w:tcPr>
            <w:tcW w:w="1182" w:type="dxa"/>
          </w:tcPr>
          <w:p w14:paraId="306223C3">
            <w:pPr>
              <w:spacing w:after="0" w:line="240" w:lineRule="auto"/>
            </w:pPr>
            <w:r>
              <w:t>29,2%</w:t>
            </w:r>
          </w:p>
        </w:tc>
        <w:tc>
          <w:tcPr>
            <w:tcW w:w="1182" w:type="dxa"/>
          </w:tcPr>
          <w:p w14:paraId="349F76EA">
            <w:pPr>
              <w:spacing w:after="0" w:line="240" w:lineRule="auto"/>
            </w:pPr>
            <w:r>
              <w:t>30,2%</w:t>
            </w:r>
          </w:p>
        </w:tc>
        <w:tc>
          <w:tcPr>
            <w:tcW w:w="1191" w:type="dxa"/>
            <w:gridSpan w:val="2"/>
          </w:tcPr>
          <w:p w14:paraId="09AD7140">
            <w:pPr>
              <w:spacing w:after="0" w:line="240" w:lineRule="auto"/>
            </w:pPr>
            <w:r>
              <w:t>*</w:t>
            </w:r>
          </w:p>
        </w:tc>
      </w:tr>
      <w:tr w14:paraId="5C42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6" w:type="dxa"/>
            <w:gridSpan w:val="16"/>
          </w:tcPr>
          <w:p w14:paraId="2ACF0C16">
            <w:pPr>
              <w:spacing w:after="0" w:line="240" w:lineRule="auto"/>
              <w:jc w:val="center"/>
            </w:pPr>
            <w:r>
              <w:t>Fonte: IPARDES – Projeção da População dos Municípios do Paraná – Revisão 2018 (Tabulações Especiais PNE)</w:t>
            </w:r>
          </w:p>
        </w:tc>
      </w:tr>
      <w:tr w14:paraId="408C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6" w:type="dxa"/>
            <w:gridSpan w:val="16"/>
          </w:tcPr>
          <w:p w14:paraId="66369D1E">
            <w:pPr>
              <w:spacing w:after="0" w:line="240" w:lineRule="auto"/>
              <w:jc w:val="center"/>
            </w:pPr>
            <w:r>
              <w:t>Fonte INEP – Censo Escolar Educação Básica</w:t>
            </w:r>
          </w:p>
        </w:tc>
      </w:tr>
    </w:tbl>
    <w:p w14:paraId="6232CD96">
      <w:pPr>
        <w:ind w:firstLine="708" w:firstLineChars="0"/>
        <w:jc w:val="both"/>
      </w:pPr>
    </w:p>
    <w:p w14:paraId="4424FB43">
      <w:pPr>
        <w:ind w:firstLine="708" w:firstLineChars="0"/>
        <w:jc w:val="both"/>
      </w:pPr>
      <w:r>
        <w:t>A Meta 01 apresenta neste período de monitoramento e avaliação, um resultado positivo, pois, a maioria das estratégias estipuladas no plano, foram realizadas dentro do esperado.</w:t>
      </w:r>
    </w:p>
    <w:p w14:paraId="364574CD">
      <w:pPr>
        <w:ind w:firstLine="708" w:firstLineChars="0"/>
        <w:jc w:val="both"/>
      </w:pPr>
      <w:r>
        <w:t>O CMEI, está atendendo 110 (cento e dez) alunos em tempo integral, na faixa etária de 06 meses a 3 anos. Processo de Credenciamento do CMEI, liberado em 18 de novembro de 2019 pela Resolução Nº 4341/2019- SEED, publicado no DIOE nº 10573 de 28/11/2019.</w:t>
      </w:r>
    </w:p>
    <w:tbl>
      <w:tblPr>
        <w:tblStyle w:val="9"/>
        <w:tblW w:w="1341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5"/>
        <w:gridCol w:w="6935"/>
      </w:tblGrid>
      <w:tr w14:paraId="08A6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0" w:type="dxa"/>
            <w:gridSpan w:val="2"/>
          </w:tcPr>
          <w:p w14:paraId="6EF2A6D4">
            <w:pPr>
              <w:pStyle w:val="16"/>
              <w:numPr>
                <w:ilvl w:val="0"/>
                <w:numId w:val="0"/>
              </w:numPr>
              <w:jc w:val="center"/>
              <w:rPr>
                <w:rFonts w:hint="default"/>
                <w:b/>
                <w:vertAlign w:val="baseline"/>
                <w:lang w:val="pt-BR"/>
              </w:rPr>
            </w:pPr>
            <w:r>
              <w:rPr>
                <w:rFonts w:hint="default"/>
                <w:b/>
                <w:vertAlign w:val="baseline"/>
                <w:lang w:val="pt-BR"/>
              </w:rPr>
              <w:t>Ficha metodológica para o indicador 2A - base PNE</w:t>
            </w:r>
          </w:p>
        </w:tc>
      </w:tr>
      <w:tr w14:paraId="45FE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75" w:type="dxa"/>
            <w:tcBorders>
              <w:top w:val="outset" w:color="auto" w:sz="6" w:space="0"/>
              <w:left w:val="outset" w:color="auto" w:sz="6" w:space="0"/>
              <w:bottom w:val="outset" w:color="auto" w:sz="6" w:space="0"/>
              <w:right w:val="outset" w:color="auto" w:sz="6" w:space="0"/>
            </w:tcBorders>
          </w:tcPr>
          <w:p w14:paraId="538CD419">
            <w:pPr>
              <w:spacing w:after="160" w:line="259" w:lineRule="auto"/>
              <w:rPr>
                <w:b/>
              </w:rPr>
            </w:pPr>
            <w:r>
              <w:t xml:space="preserve">  </w:t>
            </w:r>
            <w:r>
              <w:rPr>
                <w:b/>
              </w:rPr>
              <w:t>Meta</w:t>
            </w:r>
          </w:p>
        </w:tc>
        <w:tc>
          <w:tcPr>
            <w:tcW w:w="6935" w:type="dxa"/>
            <w:tcBorders>
              <w:top w:val="outset" w:color="auto" w:sz="6" w:space="0"/>
              <w:left w:val="outset" w:color="auto" w:sz="6" w:space="0"/>
              <w:bottom w:val="outset" w:color="auto" w:sz="6" w:space="0"/>
              <w:right w:val="outset" w:color="auto" w:sz="6" w:space="0"/>
            </w:tcBorders>
          </w:tcPr>
          <w:p w14:paraId="692F1B26">
            <w:pPr>
              <w:spacing w:after="160" w:line="259" w:lineRule="auto"/>
              <w:rPr>
                <w:b/>
              </w:rPr>
            </w:pPr>
            <w:r>
              <w:rPr>
                <w:b/>
              </w:rPr>
              <w:t>Texto da meta</w:t>
            </w:r>
          </w:p>
        </w:tc>
      </w:tr>
      <w:tr w14:paraId="42DF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75" w:type="dxa"/>
            <w:tcBorders>
              <w:top w:val="nil"/>
              <w:left w:val="outset" w:color="auto" w:sz="6" w:space="0"/>
              <w:bottom w:val="outset" w:color="auto" w:sz="6" w:space="0"/>
              <w:right w:val="outset" w:color="auto" w:sz="6" w:space="0"/>
            </w:tcBorders>
          </w:tcPr>
          <w:p w14:paraId="11F8E949">
            <w:pPr>
              <w:spacing w:after="160" w:line="259" w:lineRule="auto"/>
            </w:pPr>
            <w:r>
              <w:t>2</w:t>
            </w:r>
          </w:p>
          <w:p w14:paraId="7AE00C20">
            <w:pPr>
              <w:spacing w:after="160" w:line="259" w:lineRule="auto"/>
            </w:pPr>
          </w:p>
          <w:p w14:paraId="3D44D392">
            <w:pPr>
              <w:spacing w:after="160" w:line="259" w:lineRule="auto"/>
            </w:pPr>
          </w:p>
        </w:tc>
        <w:tc>
          <w:tcPr>
            <w:tcW w:w="6935" w:type="dxa"/>
            <w:tcBorders>
              <w:top w:val="nil"/>
              <w:left w:val="outset" w:color="auto" w:sz="6" w:space="0"/>
              <w:bottom w:val="outset" w:color="auto" w:sz="6" w:space="0"/>
              <w:right w:val="outset" w:color="auto" w:sz="6" w:space="0"/>
            </w:tcBorders>
          </w:tcPr>
          <w:p w14:paraId="77959952">
            <w:pPr>
              <w:spacing w:after="160" w:line="259" w:lineRule="auto"/>
              <w:jc w:val="both"/>
              <w:rPr>
                <w:i/>
              </w:rPr>
            </w:pPr>
            <w:r>
              <w:rPr>
                <w:bCs/>
              </w:rPr>
              <w:t>Universalizar o Ensino Fundamental de 9 (nove) anos para toda a população de 6 (seis) a 14 (quatorze) anos, e garantir que pelo menos 95% (noventa e cinco por cento) dos alunos concluam essa etapa de ensino na idade recomendada, até o último ano de vigência deste PME.</w:t>
            </w:r>
          </w:p>
        </w:tc>
      </w:tr>
      <w:tr w14:paraId="7E62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75" w:type="dxa"/>
            <w:tcBorders>
              <w:top w:val="outset" w:color="auto" w:sz="6" w:space="0"/>
              <w:left w:val="outset" w:color="auto" w:sz="6" w:space="0"/>
              <w:bottom w:val="outset" w:color="auto" w:sz="6" w:space="0"/>
              <w:right w:val="outset" w:color="auto" w:sz="6" w:space="0"/>
            </w:tcBorders>
          </w:tcPr>
          <w:p w14:paraId="78EDECD0">
            <w:r>
              <w:rPr>
                <w:b/>
              </w:rPr>
              <w:t xml:space="preserve"> </w:t>
            </w:r>
            <w:r>
              <w:t xml:space="preserve">Indicador 2 A </w:t>
            </w:r>
          </w:p>
        </w:tc>
        <w:tc>
          <w:tcPr>
            <w:tcW w:w="6935" w:type="dxa"/>
            <w:tcBorders>
              <w:top w:val="outset" w:color="auto" w:sz="6" w:space="0"/>
              <w:left w:val="outset" w:color="auto" w:sz="6" w:space="0"/>
              <w:bottom w:val="outset" w:color="auto" w:sz="6" w:space="0"/>
              <w:right w:val="outset" w:color="auto" w:sz="6" w:space="0"/>
            </w:tcBorders>
          </w:tcPr>
          <w:p w14:paraId="42DD8B94">
            <w:pPr>
              <w:spacing w:after="160" w:line="259" w:lineRule="auto"/>
              <w:jc w:val="both"/>
            </w:pPr>
            <w:r>
              <w:t>Percentual  de pessoas de 6 a 14 anos matriculadas no Ensino Fundamental Regular ou no Ensino Médio Regular</w:t>
            </w:r>
          </w:p>
        </w:tc>
      </w:tr>
      <w:tr w14:paraId="08BC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75" w:type="dxa"/>
            <w:tcBorders>
              <w:top w:val="outset" w:color="auto" w:sz="6" w:space="0"/>
              <w:left w:val="outset" w:color="auto" w:sz="6" w:space="0"/>
              <w:bottom w:val="outset" w:color="auto" w:sz="6" w:space="0"/>
              <w:right w:val="outset" w:color="auto" w:sz="6" w:space="0"/>
            </w:tcBorders>
          </w:tcPr>
          <w:p w14:paraId="36DBDD3A">
            <w:pPr>
              <w:spacing w:after="0" w:line="240" w:lineRule="auto"/>
            </w:pPr>
            <w:r>
              <w:t>Indicador 2 A</w:t>
            </w:r>
          </w:p>
        </w:tc>
        <w:tc>
          <w:tcPr>
            <w:tcW w:w="6935" w:type="dxa"/>
            <w:tcBorders>
              <w:top w:val="outset" w:color="auto" w:sz="6" w:space="0"/>
              <w:left w:val="outset" w:color="auto" w:sz="6" w:space="0"/>
              <w:bottom w:val="outset" w:color="auto" w:sz="6" w:space="0"/>
              <w:right w:val="outset" w:color="auto" w:sz="6" w:space="0"/>
            </w:tcBorders>
          </w:tcPr>
          <w:p w14:paraId="5F61514A">
            <w:pPr>
              <w:spacing w:after="0" w:line="240" w:lineRule="auto"/>
              <w:jc w:val="both"/>
            </w:pPr>
            <w:r>
              <w:t>Proporção de pessoas de 6 a 14 anos matriculadas no Ensino Fundamental Regular ou no Ensino Médio Regular</w:t>
            </w:r>
          </w:p>
        </w:tc>
      </w:tr>
      <w:tr w14:paraId="4CCE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75" w:type="dxa"/>
            <w:tcBorders>
              <w:top w:val="nil"/>
              <w:left w:val="outset" w:color="auto" w:sz="6" w:space="0"/>
              <w:bottom w:val="outset" w:color="auto" w:sz="6" w:space="0"/>
              <w:right w:val="outset" w:color="auto" w:sz="6" w:space="0"/>
            </w:tcBorders>
          </w:tcPr>
          <w:p w14:paraId="3B5B7BF4">
            <w:pPr>
              <w:spacing w:after="160" w:line="259" w:lineRule="auto"/>
            </w:pPr>
            <w:r>
              <w:t>Conceitos e definições</w:t>
            </w:r>
          </w:p>
        </w:tc>
        <w:tc>
          <w:tcPr>
            <w:tcW w:w="6935"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6689"/>
              <w:gridCol w:w="216"/>
            </w:tblGrid>
            <w:tr w14:paraId="753F8346">
              <w:tblPrEx>
                <w:tblCellMar>
                  <w:top w:w="15" w:type="dxa"/>
                  <w:left w:w="15" w:type="dxa"/>
                  <w:bottom w:w="15" w:type="dxa"/>
                  <w:right w:w="15" w:type="dxa"/>
                </w:tblCellMar>
              </w:tblPrEx>
              <w:tc>
                <w:tcPr>
                  <w:tcW w:w="6975" w:type="dxa"/>
                  <w:tcBorders>
                    <w:top w:val="nil"/>
                    <w:left w:val="nil"/>
                    <w:bottom w:val="nil"/>
                    <w:right w:val="nil"/>
                  </w:tcBorders>
                </w:tcPr>
                <w:p w14:paraId="148504D1">
                  <w:pPr>
                    <w:jc w:val="both"/>
                  </w:pPr>
                  <w:r>
                    <w:t>Percentual de pessoas de 6 a 14 anos que estão matriculadas no município na Educação Básica. Mede o grau de atendimento escolar no município na faixa etária</w:t>
                  </w:r>
                </w:p>
              </w:tc>
              <w:tc>
                <w:tcPr>
                  <w:tcW w:w="225" w:type="dxa"/>
                  <w:tcBorders>
                    <w:top w:val="nil"/>
                    <w:left w:val="nil"/>
                    <w:bottom w:val="nil"/>
                    <w:right w:val="nil"/>
                  </w:tcBorders>
                </w:tcPr>
                <w:p w14:paraId="46BC6B2C">
                  <w:pPr>
                    <w:jc w:val="both"/>
                  </w:pPr>
                </w:p>
              </w:tc>
            </w:tr>
          </w:tbl>
          <w:p w14:paraId="1BF6911D">
            <w:pPr>
              <w:spacing w:after="160" w:line="259" w:lineRule="auto"/>
              <w:jc w:val="both"/>
            </w:pPr>
          </w:p>
        </w:tc>
      </w:tr>
      <w:tr w14:paraId="5B10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75" w:type="dxa"/>
            <w:tcBorders>
              <w:top w:val="nil"/>
              <w:left w:val="outset" w:color="auto" w:sz="6" w:space="0"/>
              <w:bottom w:val="outset" w:color="auto" w:sz="6" w:space="0"/>
              <w:right w:val="outset" w:color="auto" w:sz="6" w:space="0"/>
            </w:tcBorders>
          </w:tcPr>
          <w:p w14:paraId="59BA97B2">
            <w:pPr>
              <w:spacing w:after="160" w:line="259" w:lineRule="auto"/>
            </w:pPr>
            <w:r>
              <w:t>Fórmula de cálculo</w:t>
            </w:r>
          </w:p>
        </w:tc>
        <w:tc>
          <w:tcPr>
            <w:tcW w:w="6935" w:type="dxa"/>
            <w:tcBorders>
              <w:top w:val="nil"/>
              <w:left w:val="outset" w:color="auto" w:sz="6" w:space="0"/>
              <w:bottom w:val="outset" w:color="auto" w:sz="6" w:space="0"/>
              <w:right w:val="outset" w:color="auto" w:sz="6" w:space="0"/>
            </w:tcBorders>
          </w:tcPr>
          <w:p w14:paraId="3F357A5F">
            <w:pPr>
              <w:spacing w:after="160" w:line="259" w:lineRule="auto"/>
              <w:jc w:val="both"/>
            </w:pPr>
            <w:r>
              <w:t>(Número de pessoas de 6 a 14 anos matriculadas no Ensino Fundamental Regular ou no Ensino Médio Regular / Número total de pessoas de 6 a 14 anos) X 100</w:t>
            </w:r>
          </w:p>
        </w:tc>
      </w:tr>
      <w:tr w14:paraId="15B1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75" w:type="dxa"/>
            <w:tcBorders>
              <w:top w:val="nil"/>
              <w:left w:val="outset" w:color="auto" w:sz="6" w:space="0"/>
              <w:bottom w:val="outset" w:color="auto" w:sz="6" w:space="0"/>
              <w:right w:val="outset" w:color="auto" w:sz="6" w:space="0"/>
            </w:tcBorders>
          </w:tcPr>
          <w:p w14:paraId="5E6F93BB">
            <w:pPr>
              <w:spacing w:after="160" w:line="259" w:lineRule="auto"/>
            </w:pPr>
            <w:r>
              <w:t>Unidade de medida</w:t>
            </w:r>
          </w:p>
        </w:tc>
        <w:tc>
          <w:tcPr>
            <w:tcW w:w="6935" w:type="dxa"/>
            <w:tcBorders>
              <w:top w:val="nil"/>
              <w:left w:val="outset" w:color="auto" w:sz="6" w:space="0"/>
              <w:bottom w:val="outset" w:color="auto" w:sz="6" w:space="0"/>
              <w:right w:val="outset" w:color="auto" w:sz="6" w:space="0"/>
            </w:tcBorders>
          </w:tcPr>
          <w:p w14:paraId="617FD899">
            <w:pPr>
              <w:spacing w:after="160" w:line="259" w:lineRule="auto"/>
            </w:pPr>
            <w:r>
              <w:t>% de Pessoas.</w:t>
            </w:r>
          </w:p>
        </w:tc>
      </w:tr>
      <w:tr w14:paraId="2B56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5" w:type="dxa"/>
          </w:tcPr>
          <w:p w14:paraId="0866CBFA">
            <w:r>
              <w:t xml:space="preserve"> Variáveis que compõem o indicador, suas respectivas fontes e instituições produtoras.</w:t>
            </w:r>
          </w:p>
        </w:tc>
        <w:tc>
          <w:tcPr>
            <w:tcW w:w="6935" w:type="dxa"/>
          </w:tcPr>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2091"/>
              <w:gridCol w:w="2091"/>
            </w:tblGrid>
            <w:tr w14:paraId="7621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49590E4C">
                  <w:pPr>
                    <w:spacing w:after="0" w:line="240" w:lineRule="auto"/>
                  </w:pPr>
                  <w:r>
                    <w:t>Variáveis</w:t>
                  </w:r>
                </w:p>
              </w:tc>
              <w:tc>
                <w:tcPr>
                  <w:tcW w:w="2091" w:type="dxa"/>
                </w:tcPr>
                <w:p w14:paraId="2A7F8E23">
                  <w:pPr>
                    <w:spacing w:after="0" w:line="240" w:lineRule="auto"/>
                  </w:pPr>
                  <w:r>
                    <w:t>Fontes</w:t>
                  </w:r>
                </w:p>
              </w:tc>
              <w:tc>
                <w:tcPr>
                  <w:tcW w:w="2091" w:type="dxa"/>
                </w:tcPr>
                <w:p w14:paraId="755D8F51">
                  <w:pPr>
                    <w:spacing w:after="0" w:line="240" w:lineRule="auto"/>
                  </w:pPr>
                  <w:r>
                    <w:t>Instituições</w:t>
                  </w:r>
                </w:p>
              </w:tc>
            </w:tr>
            <w:tr w14:paraId="1C1C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5B32609F">
                  <w:pPr>
                    <w:spacing w:after="0" w:line="240" w:lineRule="auto"/>
                  </w:pPr>
                  <w:r>
                    <w:t>População total de 4 e 5 anos de idade</w:t>
                  </w:r>
                </w:p>
              </w:tc>
              <w:tc>
                <w:tcPr>
                  <w:tcW w:w="2091" w:type="dxa"/>
                </w:tcPr>
                <w:p w14:paraId="3D9ABCF0">
                  <w:pPr>
                    <w:spacing w:after="0" w:line="240" w:lineRule="auto"/>
                  </w:pPr>
                  <w:r>
                    <w:t>Projeção Populacional dos municípios Paranaenses (revisão 2018)</w:t>
                  </w:r>
                </w:p>
              </w:tc>
              <w:tc>
                <w:tcPr>
                  <w:tcW w:w="2091" w:type="dxa"/>
                </w:tcPr>
                <w:p w14:paraId="3F438F5E">
                  <w:pPr>
                    <w:spacing w:after="0" w:line="240" w:lineRule="auto"/>
                  </w:pPr>
                  <w:r>
                    <w:t>IPARDES</w:t>
                  </w:r>
                </w:p>
              </w:tc>
            </w:tr>
            <w:tr w14:paraId="378A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1B52CC53">
                  <w:pPr>
                    <w:spacing w:after="0" w:line="240" w:lineRule="auto"/>
                  </w:pPr>
                  <w:r>
                    <w:t>CO_MUNICIPIO</w:t>
                  </w:r>
                </w:p>
              </w:tc>
              <w:tc>
                <w:tcPr>
                  <w:tcW w:w="2091" w:type="dxa"/>
                </w:tcPr>
                <w:p w14:paraId="609059D1">
                  <w:pPr>
                    <w:spacing w:after="0" w:line="240" w:lineRule="auto"/>
                  </w:pPr>
                  <w:r>
                    <w:t>Censo Escolar</w:t>
                  </w:r>
                </w:p>
              </w:tc>
              <w:tc>
                <w:tcPr>
                  <w:tcW w:w="2091" w:type="dxa"/>
                </w:tcPr>
                <w:p w14:paraId="09EF7360">
                  <w:pPr>
                    <w:spacing w:after="0" w:line="240" w:lineRule="auto"/>
                  </w:pPr>
                  <w:r>
                    <w:t>INEP</w:t>
                  </w:r>
                </w:p>
              </w:tc>
            </w:tr>
            <w:tr w14:paraId="014A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651E1BA2">
                  <w:pPr>
                    <w:spacing w:after="0" w:line="240" w:lineRule="auto"/>
                  </w:pPr>
                  <w:r>
                    <w:t>QT_MAT_BAS_4_5</w:t>
                  </w:r>
                </w:p>
              </w:tc>
              <w:tc>
                <w:tcPr>
                  <w:tcW w:w="2091" w:type="dxa"/>
                </w:tcPr>
                <w:p w14:paraId="7F2FB8E0">
                  <w:pPr>
                    <w:spacing w:after="0" w:line="240" w:lineRule="auto"/>
                  </w:pPr>
                  <w:r>
                    <w:t>Censo Escolar</w:t>
                  </w:r>
                </w:p>
              </w:tc>
              <w:tc>
                <w:tcPr>
                  <w:tcW w:w="2091" w:type="dxa"/>
                </w:tcPr>
                <w:p w14:paraId="18A8E671">
                  <w:pPr>
                    <w:spacing w:after="0" w:line="240" w:lineRule="auto"/>
                  </w:pPr>
                  <w:r>
                    <w:t>INEP</w:t>
                  </w:r>
                </w:p>
              </w:tc>
            </w:tr>
          </w:tbl>
          <w:p w14:paraId="1C41EEA3">
            <w:pPr>
              <w:spacing w:after="0" w:line="240" w:lineRule="auto"/>
            </w:pPr>
          </w:p>
        </w:tc>
      </w:tr>
      <w:tr w14:paraId="3211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5" w:type="dxa"/>
          </w:tcPr>
          <w:p w14:paraId="7342618D">
            <w:pPr>
              <w:spacing w:after="0" w:line="240" w:lineRule="auto"/>
            </w:pPr>
            <w:r>
              <w:t>Níveis de Desagregação</w:t>
            </w:r>
          </w:p>
        </w:tc>
        <w:tc>
          <w:tcPr>
            <w:tcW w:w="6935" w:type="dxa"/>
          </w:tcPr>
          <w:p w14:paraId="133D65EF">
            <w:pPr>
              <w:spacing w:after="0" w:line="240" w:lineRule="auto"/>
            </w:pPr>
            <w:r>
              <w:t>Estado e Município</w:t>
            </w:r>
          </w:p>
        </w:tc>
      </w:tr>
      <w:tr w14:paraId="5EA7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5" w:type="dxa"/>
          </w:tcPr>
          <w:p w14:paraId="7EC1CC85">
            <w:pPr>
              <w:spacing w:after="0" w:line="240" w:lineRule="auto"/>
            </w:pPr>
            <w:r>
              <w:t>Periodicidade de atualização</w:t>
            </w:r>
          </w:p>
        </w:tc>
        <w:tc>
          <w:tcPr>
            <w:tcW w:w="6935" w:type="dxa"/>
          </w:tcPr>
          <w:p w14:paraId="5D4C1CDC">
            <w:pPr>
              <w:spacing w:after="0" w:line="240" w:lineRule="auto"/>
            </w:pPr>
            <w:r>
              <w:t>Anual</w:t>
            </w:r>
          </w:p>
        </w:tc>
      </w:tr>
      <w:tr w14:paraId="6744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5" w:type="dxa"/>
          </w:tcPr>
          <w:p w14:paraId="1BC48776">
            <w:pPr>
              <w:spacing w:after="0" w:line="240" w:lineRule="auto"/>
            </w:pPr>
            <w:r>
              <w:t>Desvantagens</w:t>
            </w:r>
          </w:p>
        </w:tc>
        <w:tc>
          <w:tcPr>
            <w:tcW w:w="6935" w:type="dxa"/>
          </w:tcPr>
          <w:p w14:paraId="1CFCE571">
            <w:pPr>
              <w:pStyle w:val="16"/>
              <w:numPr>
                <w:ilvl w:val="0"/>
                <w:numId w:val="3"/>
              </w:numPr>
              <w:spacing w:after="0" w:line="240" w:lineRule="auto"/>
            </w:pPr>
            <w:r>
              <w:t>Não segue a fonte oficial sugerida pelo Ministério (Censo Demográfico 2010 e PNAD), para o denominador. b)  Não é comparável com outros entes subnacionais. c)  É utilizado nesse cálculo, a variável de endereço da matrícula (CO_MUNICIPIO), isto é, onde a escola está localizada e a variável (QT_MAT_BAS_4_5), isto é, quantas matriculas de 4 e 5 anos há no município. Ao se utilizar essa variável, (CO_MUNICÍPIO), contabiliza-se estudantes que estudam em município diferentes dos que residem, podendo acarretar em cobertura acima de 100%. Até novembro de 2024, os dados municipais provenientes do último Censo Demográfico 2022 não foram divulgados pelo IBGE.</w:t>
            </w:r>
          </w:p>
        </w:tc>
      </w:tr>
      <w:tr w14:paraId="6BD2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5" w:type="dxa"/>
          </w:tcPr>
          <w:p w14:paraId="01FE11DD">
            <w:pPr>
              <w:spacing w:after="0" w:line="240" w:lineRule="auto"/>
            </w:pPr>
            <w:r>
              <w:t>Vantagens</w:t>
            </w:r>
          </w:p>
        </w:tc>
        <w:tc>
          <w:tcPr>
            <w:tcW w:w="6935" w:type="dxa"/>
          </w:tcPr>
          <w:p w14:paraId="2D1BA2A4">
            <w:pPr>
              <w:pStyle w:val="16"/>
              <w:spacing w:after="0" w:line="240" w:lineRule="auto"/>
            </w:pPr>
            <w:r>
              <w:t>Proporciona acompanhar o desempenho da cobertura de matrículas dos municípios paranaenses de modo desagregado e anual, via fonte alternativa de dados.</w:t>
            </w:r>
          </w:p>
        </w:tc>
      </w:tr>
    </w:tbl>
    <w:p w14:paraId="648B454C"/>
    <w:tbl>
      <w:tblPr>
        <w:tblStyle w:val="9"/>
        <w:tblW w:w="13446" w:type="dxa"/>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183"/>
        <w:gridCol w:w="1182"/>
        <w:gridCol w:w="1182"/>
        <w:gridCol w:w="1182"/>
        <w:gridCol w:w="1182"/>
        <w:gridCol w:w="1182"/>
        <w:gridCol w:w="1182"/>
        <w:gridCol w:w="1182"/>
        <w:gridCol w:w="1523"/>
        <w:gridCol w:w="1296"/>
      </w:tblGrid>
      <w:tr w14:paraId="6573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0" w:type="dxa"/>
            <w:gridSpan w:val="10"/>
          </w:tcPr>
          <w:p w14:paraId="18E2D46B">
            <w:pPr>
              <w:spacing w:after="0" w:line="240" w:lineRule="auto"/>
              <w:jc w:val="center"/>
              <w:rPr>
                <w:b/>
              </w:rPr>
            </w:pPr>
            <w:r>
              <w:rPr>
                <w:b/>
              </w:rPr>
              <w:t>Dados/Indicadores: Indicador 2 A</w:t>
            </w:r>
          </w:p>
        </w:tc>
        <w:tc>
          <w:tcPr>
            <w:tcW w:w="1296" w:type="dxa"/>
          </w:tcPr>
          <w:p w14:paraId="4FB9C6A0">
            <w:pPr>
              <w:spacing w:after="0" w:line="240" w:lineRule="auto"/>
            </w:pPr>
          </w:p>
        </w:tc>
      </w:tr>
      <w:tr w14:paraId="7351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Pr>
          <w:p w14:paraId="62CD95CA">
            <w:pPr>
              <w:spacing w:after="0" w:line="240" w:lineRule="auto"/>
            </w:pPr>
            <w:r>
              <w:t>Ano</w:t>
            </w:r>
          </w:p>
        </w:tc>
        <w:tc>
          <w:tcPr>
            <w:tcW w:w="1183" w:type="dxa"/>
          </w:tcPr>
          <w:p w14:paraId="27F899D1">
            <w:pPr>
              <w:spacing w:after="0" w:line="240" w:lineRule="auto"/>
            </w:pPr>
            <w:r>
              <w:t>2014</w:t>
            </w:r>
          </w:p>
        </w:tc>
        <w:tc>
          <w:tcPr>
            <w:tcW w:w="1182" w:type="dxa"/>
          </w:tcPr>
          <w:p w14:paraId="6B7F9DA0">
            <w:pPr>
              <w:spacing w:after="0" w:line="240" w:lineRule="auto"/>
            </w:pPr>
            <w:r>
              <w:t>2015</w:t>
            </w:r>
          </w:p>
        </w:tc>
        <w:tc>
          <w:tcPr>
            <w:tcW w:w="1182" w:type="dxa"/>
          </w:tcPr>
          <w:p w14:paraId="04A2F7F8">
            <w:pPr>
              <w:spacing w:after="0" w:line="240" w:lineRule="auto"/>
            </w:pPr>
            <w:r>
              <w:t>2016</w:t>
            </w:r>
          </w:p>
        </w:tc>
        <w:tc>
          <w:tcPr>
            <w:tcW w:w="1182" w:type="dxa"/>
          </w:tcPr>
          <w:p w14:paraId="547F3147">
            <w:pPr>
              <w:spacing w:after="0" w:line="240" w:lineRule="auto"/>
            </w:pPr>
            <w:r>
              <w:t>2017</w:t>
            </w:r>
          </w:p>
        </w:tc>
        <w:tc>
          <w:tcPr>
            <w:tcW w:w="1182" w:type="dxa"/>
          </w:tcPr>
          <w:p w14:paraId="081E9A6E">
            <w:pPr>
              <w:spacing w:after="0" w:line="240" w:lineRule="auto"/>
            </w:pPr>
            <w:r>
              <w:t>2018</w:t>
            </w:r>
          </w:p>
        </w:tc>
        <w:tc>
          <w:tcPr>
            <w:tcW w:w="1182" w:type="dxa"/>
          </w:tcPr>
          <w:p w14:paraId="04AB3295">
            <w:pPr>
              <w:spacing w:after="0" w:line="240" w:lineRule="auto"/>
            </w:pPr>
            <w:r>
              <w:t>2019</w:t>
            </w:r>
          </w:p>
        </w:tc>
        <w:tc>
          <w:tcPr>
            <w:tcW w:w="1182" w:type="dxa"/>
          </w:tcPr>
          <w:p w14:paraId="1D12E34B">
            <w:pPr>
              <w:spacing w:after="0" w:line="240" w:lineRule="auto"/>
            </w:pPr>
            <w:r>
              <w:t>2020</w:t>
            </w:r>
          </w:p>
        </w:tc>
        <w:tc>
          <w:tcPr>
            <w:tcW w:w="1182" w:type="dxa"/>
          </w:tcPr>
          <w:p w14:paraId="156FE04A">
            <w:pPr>
              <w:spacing w:after="0" w:line="240" w:lineRule="auto"/>
            </w:pPr>
            <w:r>
              <w:t>2021</w:t>
            </w:r>
          </w:p>
        </w:tc>
        <w:tc>
          <w:tcPr>
            <w:tcW w:w="1523" w:type="dxa"/>
          </w:tcPr>
          <w:p w14:paraId="5B530C50">
            <w:pPr>
              <w:spacing w:after="0" w:line="240" w:lineRule="auto"/>
            </w:pPr>
            <w:r>
              <w:t>2022</w:t>
            </w:r>
          </w:p>
        </w:tc>
        <w:tc>
          <w:tcPr>
            <w:tcW w:w="1296" w:type="dxa"/>
          </w:tcPr>
          <w:p w14:paraId="1DE3724C">
            <w:pPr>
              <w:spacing w:after="0" w:line="240" w:lineRule="auto"/>
            </w:pPr>
            <w:r>
              <w:t>2023</w:t>
            </w:r>
          </w:p>
        </w:tc>
      </w:tr>
      <w:tr w14:paraId="3532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Pr>
          <w:p w14:paraId="54F5E2B3">
            <w:pPr>
              <w:spacing w:after="0" w:line="240" w:lineRule="auto"/>
            </w:pPr>
            <w:r>
              <w:t>Indicador</w:t>
            </w:r>
          </w:p>
        </w:tc>
        <w:tc>
          <w:tcPr>
            <w:tcW w:w="1183" w:type="dxa"/>
          </w:tcPr>
          <w:p w14:paraId="36DE4B1A">
            <w:pPr>
              <w:spacing w:after="0" w:line="240" w:lineRule="auto"/>
            </w:pPr>
            <w:r>
              <w:t>104,8%</w:t>
            </w:r>
          </w:p>
        </w:tc>
        <w:tc>
          <w:tcPr>
            <w:tcW w:w="1182" w:type="dxa"/>
          </w:tcPr>
          <w:p w14:paraId="126A99DE">
            <w:pPr>
              <w:spacing w:after="0" w:line="240" w:lineRule="auto"/>
            </w:pPr>
            <w:r>
              <w:t>113,2%</w:t>
            </w:r>
          </w:p>
        </w:tc>
        <w:tc>
          <w:tcPr>
            <w:tcW w:w="1182" w:type="dxa"/>
          </w:tcPr>
          <w:p w14:paraId="015EB0D0">
            <w:pPr>
              <w:spacing w:after="0" w:line="240" w:lineRule="auto"/>
            </w:pPr>
            <w:r>
              <w:t>113,5%</w:t>
            </w:r>
          </w:p>
        </w:tc>
        <w:tc>
          <w:tcPr>
            <w:tcW w:w="1182" w:type="dxa"/>
          </w:tcPr>
          <w:p w14:paraId="21181BE4">
            <w:pPr>
              <w:spacing w:after="0" w:line="240" w:lineRule="auto"/>
            </w:pPr>
            <w:r>
              <w:t>117,9%</w:t>
            </w:r>
          </w:p>
        </w:tc>
        <w:tc>
          <w:tcPr>
            <w:tcW w:w="1182" w:type="dxa"/>
          </w:tcPr>
          <w:p w14:paraId="7D8E0592">
            <w:pPr>
              <w:spacing w:after="0" w:line="240" w:lineRule="auto"/>
            </w:pPr>
            <w:r>
              <w:t>120,7%</w:t>
            </w:r>
          </w:p>
        </w:tc>
        <w:tc>
          <w:tcPr>
            <w:tcW w:w="1182" w:type="dxa"/>
          </w:tcPr>
          <w:p w14:paraId="630D807E">
            <w:pPr>
              <w:spacing w:after="0" w:line="240" w:lineRule="auto"/>
            </w:pPr>
            <w:r>
              <w:t>120,2%</w:t>
            </w:r>
          </w:p>
        </w:tc>
        <w:tc>
          <w:tcPr>
            <w:tcW w:w="1182" w:type="dxa"/>
          </w:tcPr>
          <w:p w14:paraId="0CF56913">
            <w:pPr>
              <w:spacing w:after="0" w:line="240" w:lineRule="auto"/>
            </w:pPr>
            <w:r>
              <w:t>119,9%</w:t>
            </w:r>
          </w:p>
        </w:tc>
        <w:tc>
          <w:tcPr>
            <w:tcW w:w="1182" w:type="dxa"/>
          </w:tcPr>
          <w:p w14:paraId="387EF7FA">
            <w:pPr>
              <w:spacing w:after="0" w:line="240" w:lineRule="auto"/>
            </w:pPr>
            <w:r>
              <w:t>123,1%</w:t>
            </w:r>
          </w:p>
        </w:tc>
        <w:tc>
          <w:tcPr>
            <w:tcW w:w="1523" w:type="dxa"/>
          </w:tcPr>
          <w:p w14:paraId="6E67DAC3">
            <w:pPr>
              <w:spacing w:after="0" w:line="240" w:lineRule="auto"/>
            </w:pPr>
            <w:r>
              <w:t>118,2%</w:t>
            </w:r>
          </w:p>
        </w:tc>
        <w:tc>
          <w:tcPr>
            <w:tcW w:w="1296" w:type="dxa"/>
          </w:tcPr>
          <w:p w14:paraId="1D50ED6E">
            <w:pPr>
              <w:spacing w:after="0" w:line="240" w:lineRule="auto"/>
            </w:pPr>
            <w:r>
              <w:t>*</w:t>
            </w:r>
          </w:p>
        </w:tc>
      </w:tr>
      <w:tr w14:paraId="5A16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6" w:type="dxa"/>
            <w:gridSpan w:val="11"/>
          </w:tcPr>
          <w:p w14:paraId="4D7E6343">
            <w:pPr>
              <w:spacing w:after="0" w:line="240" w:lineRule="auto"/>
              <w:jc w:val="center"/>
            </w:pPr>
            <w:r>
              <w:t>Fonte: IPARDES – Projeção da População dos Municípios do Paraná – Revisão 2018 (Tabulações Especiais PNE)</w:t>
            </w:r>
          </w:p>
        </w:tc>
      </w:tr>
      <w:tr w14:paraId="3499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6" w:type="dxa"/>
            <w:gridSpan w:val="11"/>
          </w:tcPr>
          <w:p w14:paraId="67B9351A">
            <w:pPr>
              <w:spacing w:after="0" w:line="240" w:lineRule="auto"/>
              <w:jc w:val="center"/>
            </w:pPr>
            <w:r>
              <w:t>Fonte INEP – Censo Escolar Educação Básica</w:t>
            </w:r>
          </w:p>
        </w:tc>
      </w:tr>
    </w:tbl>
    <w:p w14:paraId="523BACA3"/>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5"/>
        <w:gridCol w:w="18"/>
        <w:gridCol w:w="6636"/>
      </w:tblGrid>
      <w:tr w14:paraId="4AA2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9" w:type="dxa"/>
            <w:gridSpan w:val="3"/>
          </w:tcPr>
          <w:p w14:paraId="6B4C9AB3">
            <w:pPr>
              <w:pStyle w:val="16"/>
              <w:numPr>
                <w:ilvl w:val="0"/>
                <w:numId w:val="0"/>
              </w:numPr>
              <w:jc w:val="center"/>
              <w:rPr>
                <w:rFonts w:hint="default"/>
                <w:b/>
                <w:vertAlign w:val="baseline"/>
                <w:lang w:val="pt-BR"/>
              </w:rPr>
            </w:pPr>
            <w:r>
              <w:rPr>
                <w:rFonts w:hint="default"/>
                <w:b/>
                <w:vertAlign w:val="baseline"/>
                <w:lang w:val="pt-BR"/>
              </w:rPr>
              <w:t>Ficha metodológica para o indicador 2B - base PNE</w:t>
            </w:r>
          </w:p>
        </w:tc>
      </w:tr>
      <w:tr w14:paraId="233B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75" w:type="dxa"/>
            <w:tcBorders>
              <w:top w:val="outset" w:color="auto" w:sz="6" w:space="0"/>
              <w:left w:val="outset" w:color="auto" w:sz="6" w:space="0"/>
              <w:bottom w:val="outset" w:color="auto" w:sz="6" w:space="0"/>
              <w:right w:val="outset" w:color="auto" w:sz="6" w:space="0"/>
            </w:tcBorders>
          </w:tcPr>
          <w:p w14:paraId="0B76D2F0">
            <w:pPr>
              <w:spacing w:after="160" w:line="259" w:lineRule="auto"/>
              <w:rPr>
                <w:b/>
                <w:color w:val="000000" w:themeColor="text1"/>
                <w14:textFill>
                  <w14:solidFill>
                    <w14:schemeClr w14:val="tx1"/>
                  </w14:solidFill>
                </w14:textFill>
              </w:rPr>
            </w:pPr>
            <w:r>
              <w:rPr>
                <w:color w:val="000000" w:themeColor="text1"/>
                <w14:textFill>
                  <w14:solidFill>
                    <w14:schemeClr w14:val="tx1"/>
                  </w14:solidFill>
                </w14:textFill>
              </w:rPr>
              <w:t xml:space="preserve">  </w:t>
            </w:r>
            <w:r>
              <w:rPr>
                <w:b/>
                <w:color w:val="000000" w:themeColor="text1"/>
                <w14:textFill>
                  <w14:solidFill>
                    <w14:schemeClr w14:val="tx1"/>
                  </w14:solidFill>
                </w14:textFill>
              </w:rPr>
              <w:t>Meta</w:t>
            </w:r>
          </w:p>
        </w:tc>
        <w:tc>
          <w:tcPr>
            <w:tcW w:w="6654" w:type="dxa"/>
            <w:gridSpan w:val="2"/>
            <w:tcBorders>
              <w:top w:val="outset" w:color="auto" w:sz="6" w:space="0"/>
              <w:left w:val="outset" w:color="auto" w:sz="6" w:space="0"/>
              <w:bottom w:val="outset" w:color="auto" w:sz="6" w:space="0"/>
              <w:right w:val="outset" w:color="auto" w:sz="6" w:space="0"/>
            </w:tcBorders>
          </w:tcPr>
          <w:p w14:paraId="7B227AF7">
            <w:pPr>
              <w:spacing w:after="160" w:line="259" w:lineRule="auto"/>
              <w:rPr>
                <w:b/>
                <w:color w:val="000000" w:themeColor="text1"/>
                <w14:textFill>
                  <w14:solidFill>
                    <w14:schemeClr w14:val="tx1"/>
                  </w14:solidFill>
                </w14:textFill>
              </w:rPr>
            </w:pPr>
            <w:r>
              <w:rPr>
                <w:b/>
                <w:color w:val="000000" w:themeColor="text1"/>
                <w14:textFill>
                  <w14:solidFill>
                    <w14:schemeClr w14:val="tx1"/>
                  </w14:solidFill>
                </w14:textFill>
              </w:rPr>
              <w:t>Texto da meta</w:t>
            </w:r>
          </w:p>
        </w:tc>
      </w:tr>
      <w:tr w14:paraId="5F8D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75" w:type="dxa"/>
            <w:tcBorders>
              <w:top w:val="nil"/>
              <w:left w:val="outset" w:color="auto" w:sz="6" w:space="0"/>
              <w:bottom w:val="outset" w:color="auto" w:sz="6" w:space="0"/>
              <w:right w:val="outset" w:color="auto" w:sz="6" w:space="0"/>
            </w:tcBorders>
          </w:tcPr>
          <w:p w14:paraId="0A96E4F0">
            <w:pPr>
              <w:spacing w:after="160" w:line="259" w:lineRule="auto"/>
            </w:pPr>
            <w:r>
              <w:t>2</w:t>
            </w:r>
          </w:p>
          <w:p w14:paraId="75CC776A">
            <w:pPr>
              <w:spacing w:after="160" w:line="259" w:lineRule="auto"/>
            </w:pPr>
          </w:p>
          <w:p w14:paraId="6D103DFA">
            <w:pPr>
              <w:spacing w:after="160" w:line="259" w:lineRule="auto"/>
            </w:pPr>
          </w:p>
        </w:tc>
        <w:tc>
          <w:tcPr>
            <w:tcW w:w="6654" w:type="dxa"/>
            <w:gridSpan w:val="2"/>
            <w:tcBorders>
              <w:top w:val="nil"/>
              <w:left w:val="outset" w:color="auto" w:sz="6" w:space="0"/>
              <w:bottom w:val="outset" w:color="auto" w:sz="6" w:space="0"/>
              <w:right w:val="outset" w:color="auto" w:sz="6" w:space="0"/>
            </w:tcBorders>
          </w:tcPr>
          <w:p w14:paraId="060C2F7A">
            <w:pPr>
              <w:spacing w:after="160" w:line="259" w:lineRule="auto"/>
              <w:jc w:val="both"/>
              <w:rPr>
                <w:i/>
              </w:rPr>
            </w:pPr>
            <w:r>
              <w:rPr>
                <w:bCs/>
              </w:rPr>
              <w:t>Universalizar o Ensino Fundamental de 9 (nove) anos para toda a população de 6 (seis) a 14 (quatorze) anos, e garantir que pelo menos 95% (noventa e cinco por cento) dos alunos concluam essa etapa de ensino na idade recomendada, até o último ano de vigência deste PME.</w:t>
            </w:r>
          </w:p>
        </w:tc>
      </w:tr>
      <w:tr w14:paraId="4A3B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75" w:type="dxa"/>
            <w:tcBorders>
              <w:top w:val="nil"/>
              <w:left w:val="outset" w:color="auto" w:sz="6" w:space="0"/>
              <w:bottom w:val="outset" w:color="auto" w:sz="6" w:space="0"/>
              <w:right w:val="outset" w:color="auto" w:sz="6" w:space="0"/>
            </w:tcBorders>
          </w:tcPr>
          <w:p w14:paraId="51D68959">
            <w:pPr>
              <w:spacing w:after="160" w:line="259" w:lineRule="auto"/>
              <w:rPr>
                <w:rFonts w:hint="default"/>
                <w:lang w:val="pt-BR"/>
              </w:rPr>
            </w:pPr>
            <w:r>
              <w:rPr>
                <w:rFonts w:hint="default"/>
                <w:lang w:val="pt-BR"/>
              </w:rPr>
              <w:t>Indicador 2 B Nacional</w:t>
            </w:r>
          </w:p>
        </w:tc>
        <w:tc>
          <w:tcPr>
            <w:tcW w:w="6654" w:type="dxa"/>
            <w:gridSpan w:val="2"/>
            <w:tcBorders>
              <w:top w:val="nil"/>
              <w:left w:val="outset" w:color="auto" w:sz="6" w:space="0"/>
              <w:bottom w:val="outset" w:color="auto" w:sz="6" w:space="0"/>
              <w:right w:val="outset" w:color="auto" w:sz="6" w:space="0"/>
            </w:tcBorders>
          </w:tcPr>
          <w:p w14:paraId="60F219D6">
            <w:pPr>
              <w:spacing w:after="160" w:line="259" w:lineRule="auto"/>
              <w:jc w:val="both"/>
              <w:rPr>
                <w:rFonts w:hint="default"/>
                <w:bCs/>
                <w:lang w:val="pt-BR"/>
              </w:rPr>
            </w:pPr>
            <w:r>
              <w:rPr>
                <w:rFonts w:hint="default"/>
                <w:bCs/>
                <w:lang w:val="pt-BR"/>
              </w:rPr>
              <w:t>Percentual de pessoas de 16 anos com pelo menos o Ensino Fundamental concluído.</w:t>
            </w:r>
          </w:p>
        </w:tc>
      </w:tr>
      <w:tr w14:paraId="7C6F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93" w:type="dxa"/>
            <w:gridSpan w:val="2"/>
            <w:tcBorders>
              <w:top w:val="outset" w:color="auto" w:sz="6" w:space="0"/>
              <w:left w:val="outset" w:color="auto" w:sz="6" w:space="0"/>
              <w:bottom w:val="outset" w:color="auto" w:sz="6" w:space="0"/>
              <w:right w:val="outset" w:color="auto" w:sz="6" w:space="0"/>
            </w:tcBorders>
          </w:tcPr>
          <w:p w14:paraId="5C32AEE0">
            <w:pPr>
              <w:spacing w:after="160" w:line="259" w:lineRule="auto"/>
              <w:jc w:val="both"/>
              <w:rPr>
                <w:rFonts w:hint="default"/>
                <w:lang w:val="pt-BR"/>
              </w:rPr>
            </w:pPr>
            <w:r>
              <w:t>Indicador 2 B</w:t>
            </w:r>
            <w:r>
              <w:rPr>
                <w:rFonts w:hint="default"/>
                <w:lang w:val="pt-BR"/>
              </w:rPr>
              <w:t xml:space="preserve"> Proposto</w:t>
            </w:r>
          </w:p>
        </w:tc>
        <w:tc>
          <w:tcPr>
            <w:tcW w:w="6636" w:type="dxa"/>
            <w:tcBorders>
              <w:top w:val="outset" w:color="auto" w:sz="6" w:space="0"/>
              <w:left w:val="outset" w:color="auto" w:sz="6" w:space="0"/>
              <w:bottom w:val="outset" w:color="auto" w:sz="6" w:space="0"/>
              <w:right w:val="outset" w:color="auto" w:sz="6" w:space="0"/>
            </w:tcBorders>
          </w:tcPr>
          <w:p w14:paraId="0AB7F436">
            <w:pPr>
              <w:spacing w:after="160" w:line="259" w:lineRule="auto"/>
              <w:jc w:val="both"/>
            </w:pPr>
            <w:r>
              <w:t>Nenhum.</w:t>
            </w:r>
          </w:p>
        </w:tc>
      </w:tr>
      <w:tr w14:paraId="5B82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93" w:type="dxa"/>
            <w:gridSpan w:val="2"/>
            <w:tcBorders>
              <w:top w:val="nil"/>
              <w:left w:val="outset" w:color="auto" w:sz="6" w:space="0"/>
              <w:bottom w:val="outset" w:color="auto" w:sz="6" w:space="0"/>
              <w:right w:val="outset" w:color="auto" w:sz="6" w:space="0"/>
            </w:tcBorders>
          </w:tcPr>
          <w:p w14:paraId="536AACC1">
            <w:pPr>
              <w:spacing w:after="160" w:line="259" w:lineRule="auto"/>
              <w:jc w:val="both"/>
            </w:pPr>
            <w:r>
              <w:t>Fórmula de cálculo</w:t>
            </w:r>
          </w:p>
        </w:tc>
        <w:tc>
          <w:tcPr>
            <w:tcW w:w="6636" w:type="dxa"/>
            <w:tcBorders>
              <w:top w:val="nil"/>
              <w:left w:val="outset" w:color="auto" w:sz="6" w:space="0"/>
              <w:bottom w:val="outset" w:color="auto" w:sz="6" w:space="0"/>
              <w:right w:val="outset" w:color="auto" w:sz="6" w:space="0"/>
            </w:tcBorders>
          </w:tcPr>
          <w:p w14:paraId="19AEAA13">
            <w:pPr>
              <w:spacing w:after="160" w:line="259" w:lineRule="auto"/>
              <w:jc w:val="both"/>
            </w:pPr>
            <w:r>
              <w:t>(População de 16 anos com o ensino fundamental concluído / População de 16 anos) x 100</w:t>
            </w:r>
          </w:p>
        </w:tc>
      </w:tr>
      <w:tr w14:paraId="5DAC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93" w:type="dxa"/>
            <w:gridSpan w:val="2"/>
            <w:tcBorders>
              <w:top w:val="nil"/>
              <w:left w:val="outset" w:color="auto" w:sz="6" w:space="0"/>
              <w:bottom w:val="outset" w:color="auto" w:sz="6" w:space="0"/>
              <w:right w:val="outset" w:color="auto" w:sz="6" w:space="0"/>
            </w:tcBorders>
          </w:tcPr>
          <w:p w14:paraId="61F5CCB9">
            <w:pPr>
              <w:spacing w:after="160" w:line="259" w:lineRule="auto"/>
              <w:jc w:val="both"/>
            </w:pPr>
            <w:r>
              <w:t>Justificativa</w:t>
            </w:r>
          </w:p>
        </w:tc>
        <w:tc>
          <w:tcPr>
            <w:tcW w:w="6636" w:type="dxa"/>
            <w:tcBorders>
              <w:top w:val="nil"/>
              <w:left w:val="outset" w:color="auto" w:sz="6" w:space="0"/>
              <w:bottom w:val="outset" w:color="auto" w:sz="6" w:space="0"/>
              <w:right w:val="outset" w:color="auto" w:sz="6" w:space="0"/>
            </w:tcBorders>
          </w:tcPr>
          <w:p w14:paraId="5FFF5776">
            <w:pPr>
              <w:spacing w:after="160" w:line="259" w:lineRule="auto"/>
              <w:jc w:val="both"/>
            </w:pPr>
            <w:r>
              <w:t>Inviável. Não existe dado público municipal e anual que informe todas as pessoas com EF concluído e que estejam dentro ou fora da escola.</w:t>
            </w:r>
          </w:p>
        </w:tc>
      </w:tr>
    </w:tbl>
    <w:p w14:paraId="0B785044"/>
    <w:p w14:paraId="602CFA5A">
      <w:pPr>
        <w:ind w:firstLine="708" w:firstLineChars="0"/>
        <w:jc w:val="both"/>
      </w:pPr>
      <w:r>
        <w:t xml:space="preserve"> Durante este período de monitoramento, a meta 02 apresenta as estratégias propostas no Plano, referente a Educação do Ensino Fundamental, foram executadas em sua maioria. Considerando assim, o trabalho realizado de forma constante para atender a demanda.</w:t>
      </w:r>
    </w:p>
    <w:p w14:paraId="2C85E658">
      <w:pPr>
        <w:ind w:firstLine="708" w:firstLineChars="0"/>
        <w:jc w:val="both"/>
      </w:pPr>
      <w:r>
        <w:t xml:space="preserve">Porém, com relação a população de 16 anos, não existe dado público municipal e anual que informe todas as pessoas com Ensino Fundamental concluído e que estejam dentro ou fora da escola. </w:t>
      </w:r>
    </w:p>
    <w:p w14:paraId="5B43787F"/>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1202"/>
        <w:gridCol w:w="1202"/>
        <w:gridCol w:w="1202"/>
        <w:gridCol w:w="547"/>
        <w:gridCol w:w="34"/>
        <w:gridCol w:w="6"/>
        <w:gridCol w:w="615"/>
        <w:gridCol w:w="1202"/>
        <w:gridCol w:w="1202"/>
        <w:gridCol w:w="1202"/>
        <w:gridCol w:w="1202"/>
        <w:gridCol w:w="1095"/>
        <w:gridCol w:w="93"/>
        <w:gridCol w:w="14"/>
        <w:gridCol w:w="827"/>
      </w:tblGrid>
      <w:tr w14:paraId="24BD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41" w:type="dxa"/>
        </w:trPr>
        <w:tc>
          <w:tcPr>
            <w:tcW w:w="13129" w:type="dxa"/>
            <w:gridSpan w:val="14"/>
          </w:tcPr>
          <w:p w14:paraId="2F9CB364">
            <w:pPr>
              <w:pStyle w:val="16"/>
              <w:numPr>
                <w:ilvl w:val="0"/>
                <w:numId w:val="0"/>
              </w:numPr>
              <w:jc w:val="center"/>
              <w:rPr>
                <w:rFonts w:hint="default"/>
                <w:b/>
                <w:vertAlign w:val="baseline"/>
                <w:lang w:val="pt-BR"/>
              </w:rPr>
            </w:pPr>
            <w:r>
              <w:rPr>
                <w:rFonts w:hint="default"/>
                <w:b/>
                <w:vertAlign w:val="baseline"/>
                <w:lang w:val="pt-BR"/>
              </w:rPr>
              <w:t>Ficha metodológica para o indicador 3A - base PNE</w:t>
            </w:r>
          </w:p>
        </w:tc>
      </w:tr>
      <w:tr w14:paraId="1653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841" w:type="dxa"/>
        </w:trPr>
        <w:tc>
          <w:tcPr>
            <w:tcW w:w="6478" w:type="dxa"/>
            <w:gridSpan w:val="5"/>
            <w:tcBorders>
              <w:top w:val="outset" w:color="auto" w:sz="6" w:space="0"/>
              <w:left w:val="outset" w:color="auto" w:sz="6" w:space="0"/>
              <w:bottom w:val="outset" w:color="auto" w:sz="6" w:space="0"/>
              <w:right w:val="outset" w:color="auto" w:sz="6" w:space="0"/>
            </w:tcBorders>
          </w:tcPr>
          <w:p w14:paraId="3DF5CFF1">
            <w:pPr>
              <w:spacing w:after="160" w:line="259" w:lineRule="auto"/>
              <w:rPr>
                <w:b/>
              </w:rPr>
            </w:pPr>
            <w:r>
              <w:t xml:space="preserve"> </w:t>
            </w:r>
            <w:r>
              <w:rPr>
                <w:b/>
              </w:rPr>
              <w:t>Meta</w:t>
            </w:r>
          </w:p>
        </w:tc>
        <w:tc>
          <w:tcPr>
            <w:tcW w:w="6651" w:type="dxa"/>
            <w:gridSpan w:val="9"/>
            <w:tcBorders>
              <w:top w:val="outset" w:color="auto" w:sz="6" w:space="0"/>
              <w:left w:val="outset" w:color="auto" w:sz="6" w:space="0"/>
              <w:bottom w:val="outset" w:color="auto" w:sz="6" w:space="0"/>
              <w:right w:val="outset" w:color="auto" w:sz="6" w:space="0"/>
            </w:tcBorders>
          </w:tcPr>
          <w:p w14:paraId="4382C909">
            <w:pPr>
              <w:spacing w:after="160" w:line="259" w:lineRule="auto"/>
              <w:rPr>
                <w:b/>
              </w:rPr>
            </w:pPr>
            <w:r>
              <w:rPr>
                <w:b/>
              </w:rPr>
              <w:t>Texto da meta</w:t>
            </w:r>
          </w:p>
        </w:tc>
      </w:tr>
      <w:tr w14:paraId="6B17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841" w:type="dxa"/>
        </w:trPr>
        <w:tc>
          <w:tcPr>
            <w:tcW w:w="6478" w:type="dxa"/>
            <w:gridSpan w:val="5"/>
            <w:tcBorders>
              <w:top w:val="nil"/>
              <w:left w:val="outset" w:color="auto" w:sz="6" w:space="0"/>
              <w:bottom w:val="outset" w:color="auto" w:sz="6" w:space="0"/>
              <w:right w:val="outset" w:color="auto" w:sz="6" w:space="0"/>
            </w:tcBorders>
          </w:tcPr>
          <w:p w14:paraId="720C6A20">
            <w:pPr>
              <w:spacing w:after="160" w:line="259" w:lineRule="auto"/>
            </w:pPr>
            <w:r>
              <w:t>3</w:t>
            </w:r>
          </w:p>
          <w:p w14:paraId="6390C1A8">
            <w:pPr>
              <w:spacing w:after="160" w:line="259" w:lineRule="auto"/>
            </w:pPr>
          </w:p>
          <w:p w14:paraId="2F7DB7CB">
            <w:pPr>
              <w:spacing w:after="160" w:line="259" w:lineRule="auto"/>
            </w:pPr>
          </w:p>
        </w:tc>
        <w:tc>
          <w:tcPr>
            <w:tcW w:w="6651" w:type="dxa"/>
            <w:gridSpan w:val="9"/>
            <w:tcBorders>
              <w:top w:val="nil"/>
              <w:left w:val="outset" w:color="auto" w:sz="6" w:space="0"/>
              <w:bottom w:val="outset" w:color="auto" w:sz="6" w:space="0"/>
              <w:right w:val="outset" w:color="auto" w:sz="6" w:space="0"/>
            </w:tcBorders>
          </w:tcPr>
          <w:p w14:paraId="1E05153F">
            <w:pPr>
              <w:spacing w:after="160" w:line="259" w:lineRule="auto"/>
              <w:jc w:val="both"/>
              <w:rPr>
                <w:i/>
              </w:rPr>
            </w:pPr>
            <w:r>
              <w:rPr>
                <w:bCs/>
              </w:rPr>
              <w:t>Universalizar, até 2016, o atendimento escolar para toda a população de 15 (quinze) a 17 (dezessete) anos e elevar, até o final do período de vigência deste PME, a taxa líquida de matrículas no ensino médio para 85% (oitenta e cinco por cento).</w:t>
            </w:r>
          </w:p>
        </w:tc>
      </w:tr>
      <w:tr w14:paraId="4075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3"/>
          <w:wAfter w:w="934" w:type="dxa"/>
        </w:trPr>
        <w:tc>
          <w:tcPr>
            <w:tcW w:w="6512" w:type="dxa"/>
            <w:gridSpan w:val="6"/>
            <w:tcBorders>
              <w:top w:val="outset" w:color="auto" w:sz="6" w:space="0"/>
              <w:left w:val="outset" w:color="auto" w:sz="6" w:space="0"/>
              <w:bottom w:val="outset" w:color="auto" w:sz="6" w:space="0"/>
              <w:right w:val="outset" w:color="auto" w:sz="6" w:space="0"/>
            </w:tcBorders>
          </w:tcPr>
          <w:p w14:paraId="1FB5E9A2">
            <w:pPr>
              <w:jc w:val="both"/>
              <w:rPr>
                <w:rFonts w:hint="default"/>
                <w:lang w:val="pt-BR"/>
              </w:rPr>
            </w:pPr>
            <w:r>
              <w:rPr>
                <w:b/>
              </w:rPr>
              <w:t xml:space="preserve"> </w:t>
            </w:r>
            <w:r>
              <w:rPr>
                <w:rFonts w:hint="default"/>
                <w:lang w:val="pt-BR"/>
              </w:rPr>
              <w:t>Indicador 3 A Nacional</w:t>
            </w:r>
          </w:p>
        </w:tc>
        <w:tc>
          <w:tcPr>
            <w:tcW w:w="6524" w:type="dxa"/>
            <w:gridSpan w:val="7"/>
            <w:tcBorders>
              <w:top w:val="outset" w:color="auto" w:sz="6" w:space="0"/>
              <w:left w:val="outset" w:color="auto" w:sz="6" w:space="0"/>
              <w:bottom w:val="outset" w:color="auto" w:sz="6" w:space="0"/>
              <w:right w:val="outset" w:color="auto" w:sz="6" w:space="0"/>
            </w:tcBorders>
          </w:tcPr>
          <w:p w14:paraId="0B4BB033">
            <w:pPr>
              <w:spacing w:after="160" w:line="259" w:lineRule="auto"/>
              <w:jc w:val="both"/>
              <w:rPr>
                <w:rFonts w:hint="default"/>
                <w:lang w:val="pt-BR"/>
              </w:rPr>
            </w:pPr>
            <w:r>
              <w:rPr>
                <w:rFonts w:hint="default"/>
                <w:lang w:val="pt-BR"/>
              </w:rPr>
              <w:t>Percentual da População de 15 a 17 anos que frequenta a escola ou já concluiu a educação básica.</w:t>
            </w:r>
          </w:p>
        </w:tc>
      </w:tr>
      <w:tr w14:paraId="7B69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3"/>
          <w:wAfter w:w="934" w:type="dxa"/>
        </w:trPr>
        <w:tc>
          <w:tcPr>
            <w:tcW w:w="6512" w:type="dxa"/>
            <w:gridSpan w:val="6"/>
            <w:tcBorders>
              <w:top w:val="outset" w:color="auto" w:sz="6" w:space="0"/>
              <w:left w:val="outset" w:color="auto" w:sz="6" w:space="0"/>
              <w:bottom w:val="outset" w:color="auto" w:sz="6" w:space="0"/>
              <w:right w:val="outset" w:color="auto" w:sz="6" w:space="0"/>
            </w:tcBorders>
          </w:tcPr>
          <w:p w14:paraId="617D4167">
            <w:pPr>
              <w:spacing w:after="160" w:line="259" w:lineRule="auto"/>
              <w:jc w:val="both"/>
              <w:rPr>
                <w:rFonts w:hint="default"/>
                <w:lang w:val="pt-BR"/>
              </w:rPr>
            </w:pPr>
            <w:r>
              <w:t xml:space="preserve">Indicador </w:t>
            </w:r>
            <w:r>
              <w:rPr>
                <w:rFonts w:hint="default"/>
                <w:lang w:val="pt-BR"/>
              </w:rPr>
              <w:t>3 A Proposto</w:t>
            </w:r>
          </w:p>
        </w:tc>
        <w:tc>
          <w:tcPr>
            <w:tcW w:w="6524" w:type="dxa"/>
            <w:gridSpan w:val="7"/>
            <w:tcBorders>
              <w:top w:val="outset" w:color="auto" w:sz="6" w:space="0"/>
              <w:left w:val="outset" w:color="auto" w:sz="6" w:space="0"/>
              <w:bottom w:val="outset" w:color="auto" w:sz="6" w:space="0"/>
              <w:right w:val="outset" w:color="auto" w:sz="6" w:space="0"/>
            </w:tcBorders>
          </w:tcPr>
          <w:p w14:paraId="1A8B8C88">
            <w:pPr>
              <w:spacing w:after="160" w:line="259" w:lineRule="auto"/>
              <w:jc w:val="both"/>
            </w:pPr>
            <w:r>
              <w:t>Proporção de pessoas de 15 a 17 anos matriculadas na escola.</w:t>
            </w:r>
          </w:p>
        </w:tc>
      </w:tr>
      <w:tr w14:paraId="7AA2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3"/>
          <w:wAfter w:w="934" w:type="dxa"/>
        </w:trPr>
        <w:tc>
          <w:tcPr>
            <w:tcW w:w="6512" w:type="dxa"/>
            <w:gridSpan w:val="6"/>
            <w:tcBorders>
              <w:top w:val="nil"/>
              <w:left w:val="outset" w:color="auto" w:sz="6" w:space="0"/>
              <w:bottom w:val="outset" w:color="auto" w:sz="6" w:space="0"/>
              <w:right w:val="outset" w:color="auto" w:sz="6" w:space="0"/>
            </w:tcBorders>
          </w:tcPr>
          <w:p w14:paraId="4AAB09DD">
            <w:pPr>
              <w:spacing w:after="160" w:line="259" w:lineRule="auto"/>
              <w:jc w:val="both"/>
            </w:pPr>
            <w:r>
              <w:t>Conceitos e definições</w:t>
            </w:r>
          </w:p>
        </w:tc>
        <w:tc>
          <w:tcPr>
            <w:tcW w:w="6524" w:type="dxa"/>
            <w:gridSpan w:val="7"/>
            <w:tcBorders>
              <w:top w:val="nil"/>
              <w:left w:val="outset" w:color="auto" w:sz="6" w:space="0"/>
              <w:bottom w:val="outset" w:color="auto" w:sz="6" w:space="0"/>
              <w:right w:val="outset" w:color="auto" w:sz="6" w:space="0"/>
            </w:tcBorders>
          </w:tcPr>
          <w:tbl>
            <w:tblPr>
              <w:tblStyle w:val="3"/>
              <w:tblW w:w="0" w:type="auto"/>
              <w:tblInd w:w="0" w:type="dxa"/>
              <w:tblLayout w:type="fixed"/>
              <w:tblCellMar>
                <w:top w:w="15" w:type="dxa"/>
                <w:left w:w="15" w:type="dxa"/>
                <w:bottom w:w="15" w:type="dxa"/>
                <w:right w:w="15" w:type="dxa"/>
              </w:tblCellMar>
            </w:tblPr>
            <w:tblGrid>
              <w:gridCol w:w="6473"/>
            </w:tblGrid>
            <w:tr w14:paraId="3175EF4A">
              <w:tblPrEx>
                <w:tblCellMar>
                  <w:top w:w="15" w:type="dxa"/>
                  <w:left w:w="15" w:type="dxa"/>
                  <w:bottom w:w="15" w:type="dxa"/>
                  <w:right w:w="15" w:type="dxa"/>
                </w:tblCellMar>
              </w:tblPrEx>
              <w:tc>
                <w:tcPr>
                  <w:tcW w:w="6473" w:type="dxa"/>
                  <w:tcBorders>
                    <w:top w:val="nil"/>
                    <w:left w:val="nil"/>
                    <w:bottom w:val="nil"/>
                    <w:right w:val="nil"/>
                  </w:tcBorders>
                </w:tcPr>
                <w:p w14:paraId="09DE61D3">
                  <w:pPr>
                    <w:jc w:val="both"/>
                  </w:pPr>
                  <w:r>
                    <w:t>Percentual de pessoas de 15 a 17 anos que estão matriculadas no município na Educação Básica. Mede o grau de atendimento escolar município na faixa etária.</w:t>
                  </w:r>
                </w:p>
              </w:tc>
            </w:tr>
          </w:tbl>
          <w:p w14:paraId="1AE825CB">
            <w:pPr>
              <w:spacing w:after="160" w:line="259" w:lineRule="auto"/>
              <w:jc w:val="both"/>
            </w:pPr>
          </w:p>
        </w:tc>
      </w:tr>
      <w:tr w14:paraId="26F8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3"/>
          <w:wAfter w:w="934" w:type="dxa"/>
        </w:trPr>
        <w:tc>
          <w:tcPr>
            <w:tcW w:w="6512" w:type="dxa"/>
            <w:gridSpan w:val="6"/>
            <w:tcBorders>
              <w:top w:val="nil"/>
              <w:left w:val="outset" w:color="auto" w:sz="6" w:space="0"/>
              <w:bottom w:val="outset" w:color="auto" w:sz="6" w:space="0"/>
              <w:right w:val="outset" w:color="auto" w:sz="6" w:space="0"/>
            </w:tcBorders>
          </w:tcPr>
          <w:p w14:paraId="548F1873">
            <w:pPr>
              <w:spacing w:after="160" w:line="259" w:lineRule="auto"/>
            </w:pPr>
            <w:r>
              <w:t>Fórmula de cálculo</w:t>
            </w:r>
          </w:p>
        </w:tc>
        <w:tc>
          <w:tcPr>
            <w:tcW w:w="6524" w:type="dxa"/>
            <w:gridSpan w:val="7"/>
            <w:tcBorders>
              <w:top w:val="nil"/>
              <w:left w:val="outset" w:color="auto" w:sz="6" w:space="0"/>
              <w:bottom w:val="outset" w:color="auto" w:sz="6" w:space="0"/>
              <w:right w:val="outset" w:color="auto" w:sz="6" w:space="0"/>
            </w:tcBorders>
          </w:tcPr>
          <w:tbl>
            <w:tblPr>
              <w:tblStyle w:val="3"/>
              <w:tblW w:w="0" w:type="auto"/>
              <w:tblInd w:w="0" w:type="dxa"/>
              <w:tblLayout w:type="fixed"/>
              <w:tblCellMar>
                <w:top w:w="15" w:type="dxa"/>
                <w:left w:w="15" w:type="dxa"/>
                <w:bottom w:w="15" w:type="dxa"/>
                <w:right w:w="15" w:type="dxa"/>
              </w:tblCellMar>
            </w:tblPr>
            <w:tblGrid>
              <w:gridCol w:w="6473"/>
            </w:tblGrid>
            <w:tr w14:paraId="23BB1E83">
              <w:tblPrEx>
                <w:tblCellMar>
                  <w:top w:w="15" w:type="dxa"/>
                  <w:left w:w="15" w:type="dxa"/>
                  <w:bottom w:w="15" w:type="dxa"/>
                  <w:right w:w="15" w:type="dxa"/>
                </w:tblCellMar>
              </w:tblPrEx>
              <w:tc>
                <w:tcPr>
                  <w:tcW w:w="6473" w:type="dxa"/>
                  <w:tcBorders>
                    <w:top w:val="nil"/>
                    <w:left w:val="nil"/>
                    <w:bottom w:val="nil"/>
                    <w:right w:val="nil"/>
                  </w:tcBorders>
                </w:tcPr>
                <w:p w14:paraId="0FBEA854">
                  <w:pPr>
                    <w:jc w:val="both"/>
                  </w:pPr>
                  <w:r>
                    <w:t>(Número de pessoas de 15 a 17 anos matriculadas na escola / Número total de pessoas de 15 a 17 anos) X 100</w:t>
                  </w:r>
                </w:p>
              </w:tc>
            </w:tr>
          </w:tbl>
          <w:p w14:paraId="43421C84">
            <w:pPr>
              <w:spacing w:after="160" w:line="259" w:lineRule="auto"/>
            </w:pPr>
          </w:p>
        </w:tc>
      </w:tr>
      <w:tr w14:paraId="72CF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3"/>
          <w:wAfter w:w="934" w:type="dxa"/>
        </w:trPr>
        <w:tc>
          <w:tcPr>
            <w:tcW w:w="6512" w:type="dxa"/>
            <w:gridSpan w:val="6"/>
            <w:tcBorders>
              <w:top w:val="nil"/>
              <w:left w:val="outset" w:color="auto" w:sz="6" w:space="0"/>
              <w:bottom w:val="nil"/>
              <w:right w:val="outset" w:color="auto" w:sz="6" w:space="0"/>
            </w:tcBorders>
          </w:tcPr>
          <w:p w14:paraId="51224CB1">
            <w:pPr>
              <w:spacing w:after="160" w:line="259" w:lineRule="auto"/>
            </w:pPr>
            <w:r>
              <w:t>Unidade de medida</w:t>
            </w:r>
          </w:p>
        </w:tc>
        <w:tc>
          <w:tcPr>
            <w:tcW w:w="6524" w:type="dxa"/>
            <w:gridSpan w:val="7"/>
            <w:tcBorders>
              <w:top w:val="nil"/>
              <w:left w:val="outset" w:color="auto" w:sz="6" w:space="0"/>
              <w:bottom w:val="nil"/>
              <w:right w:val="outset" w:color="auto" w:sz="6" w:space="0"/>
            </w:tcBorders>
          </w:tcPr>
          <w:tbl>
            <w:tblPr>
              <w:tblStyle w:val="3"/>
              <w:tblW w:w="0" w:type="auto"/>
              <w:tblInd w:w="0" w:type="dxa"/>
              <w:tblLayout w:type="fixed"/>
              <w:tblCellMar>
                <w:top w:w="15" w:type="dxa"/>
                <w:left w:w="15" w:type="dxa"/>
                <w:bottom w:w="15" w:type="dxa"/>
                <w:right w:w="15" w:type="dxa"/>
              </w:tblCellMar>
            </w:tblPr>
            <w:tblGrid>
              <w:gridCol w:w="1270"/>
            </w:tblGrid>
            <w:tr w14:paraId="265B0F07">
              <w:tc>
                <w:tcPr>
                  <w:tcW w:w="1270" w:type="dxa"/>
                  <w:tcBorders>
                    <w:top w:val="nil"/>
                    <w:left w:val="nil"/>
                    <w:bottom w:val="nil"/>
                    <w:right w:val="nil"/>
                  </w:tcBorders>
                </w:tcPr>
                <w:p w14:paraId="2944FA46">
                  <w:r>
                    <w:t>% de Pessoas.</w:t>
                  </w:r>
                </w:p>
              </w:tc>
            </w:tr>
          </w:tbl>
          <w:p w14:paraId="0E34A4C4">
            <w:pPr>
              <w:spacing w:after="160" w:line="259" w:lineRule="auto"/>
            </w:pPr>
          </w:p>
        </w:tc>
      </w:tr>
      <w:tr w14:paraId="168B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gridAfter w:val="3"/>
          <w:wAfter w:w="934" w:type="dxa"/>
        </w:trPr>
        <w:tc>
          <w:tcPr>
            <w:tcW w:w="6518" w:type="dxa"/>
            <w:gridSpan w:val="7"/>
            <w:shd w:val="clear" w:color="auto" w:fill="auto"/>
            <w:vAlign w:val="top"/>
          </w:tcPr>
          <w:p w14:paraId="20128288">
            <w:pPr>
              <w:rPr>
                <w:rFonts w:asciiTheme="minorHAnsi" w:hAnsiTheme="minorHAnsi" w:eastAsiaTheme="minorHAnsi" w:cstheme="minorBidi"/>
                <w:sz w:val="22"/>
                <w:szCs w:val="22"/>
                <w:lang w:val="pt-BR" w:eastAsia="en-US" w:bidi="ar-SA"/>
              </w:rPr>
            </w:pPr>
            <w:r>
              <w:t xml:space="preserve"> Variáveis que compõem o indicador, suas respectivas fontes e instituições produtoras.</w:t>
            </w:r>
          </w:p>
        </w:tc>
        <w:tc>
          <w:tcPr>
            <w:tcW w:w="6518" w:type="dxa"/>
            <w:gridSpan w:val="6"/>
            <w:shd w:val="clear" w:color="auto" w:fill="auto"/>
            <w:vAlign w:val="top"/>
          </w:tcPr>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1"/>
              <w:gridCol w:w="2091"/>
            </w:tblGrid>
            <w:tr w14:paraId="743E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575959DC">
                  <w:pPr>
                    <w:spacing w:after="0" w:line="240" w:lineRule="auto"/>
                  </w:pPr>
                  <w:r>
                    <w:t>Variáveis</w:t>
                  </w:r>
                </w:p>
              </w:tc>
              <w:tc>
                <w:tcPr>
                  <w:tcW w:w="2091" w:type="dxa"/>
                </w:tcPr>
                <w:p w14:paraId="7AAA8EC7">
                  <w:pPr>
                    <w:spacing w:after="0" w:line="240" w:lineRule="auto"/>
                  </w:pPr>
                  <w:r>
                    <w:t>Fontes</w:t>
                  </w:r>
                </w:p>
              </w:tc>
              <w:tc>
                <w:tcPr>
                  <w:tcW w:w="2091" w:type="dxa"/>
                </w:tcPr>
                <w:p w14:paraId="22CFF4AB">
                  <w:pPr>
                    <w:spacing w:after="0" w:line="240" w:lineRule="auto"/>
                  </w:pPr>
                  <w:r>
                    <w:t>Instituições</w:t>
                  </w:r>
                </w:p>
              </w:tc>
            </w:tr>
            <w:tr w14:paraId="7682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047E3BB4">
                  <w:pPr>
                    <w:spacing w:after="0" w:line="240" w:lineRule="auto"/>
                    <w:jc w:val="center"/>
                  </w:pPr>
                  <w:r>
                    <w:t>População total de</w:t>
                  </w:r>
                  <w:r>
                    <w:rPr>
                      <w:rFonts w:hint="default"/>
                      <w:lang w:val="pt-BR"/>
                    </w:rPr>
                    <w:t xml:space="preserve"> 15 a 17</w:t>
                  </w:r>
                  <w:r>
                    <w:t xml:space="preserve"> anos de idade</w:t>
                  </w:r>
                </w:p>
              </w:tc>
              <w:tc>
                <w:tcPr>
                  <w:tcW w:w="2091" w:type="dxa"/>
                </w:tcPr>
                <w:p w14:paraId="1FC34C77">
                  <w:pPr>
                    <w:spacing w:after="0" w:line="240" w:lineRule="auto"/>
                    <w:jc w:val="center"/>
                  </w:pPr>
                  <w:r>
                    <w:t>Projeção Populacional dos municípios Paranaenses (revisão 2018)</w:t>
                  </w:r>
                </w:p>
              </w:tc>
              <w:tc>
                <w:tcPr>
                  <w:tcW w:w="2091" w:type="dxa"/>
                </w:tcPr>
                <w:p w14:paraId="5E7B13BF">
                  <w:pPr>
                    <w:spacing w:after="0" w:line="240" w:lineRule="auto"/>
                    <w:jc w:val="center"/>
                  </w:pPr>
                  <w:r>
                    <w:t>IPARDES</w:t>
                  </w:r>
                </w:p>
              </w:tc>
            </w:tr>
            <w:tr w14:paraId="1F07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57E1F65B">
                  <w:pPr>
                    <w:spacing w:after="0" w:line="240" w:lineRule="auto"/>
                    <w:jc w:val="center"/>
                  </w:pPr>
                  <w:r>
                    <w:t>CO_MUNICIPIO</w:t>
                  </w:r>
                </w:p>
              </w:tc>
              <w:tc>
                <w:tcPr>
                  <w:tcW w:w="2091" w:type="dxa"/>
                </w:tcPr>
                <w:p w14:paraId="289D3E2E">
                  <w:pPr>
                    <w:spacing w:after="0" w:line="240" w:lineRule="auto"/>
                    <w:jc w:val="center"/>
                  </w:pPr>
                  <w:r>
                    <w:t>Censo Escolar</w:t>
                  </w:r>
                </w:p>
              </w:tc>
              <w:tc>
                <w:tcPr>
                  <w:tcW w:w="2091" w:type="dxa"/>
                </w:tcPr>
                <w:p w14:paraId="578EAD51">
                  <w:pPr>
                    <w:spacing w:after="0" w:line="240" w:lineRule="auto"/>
                    <w:jc w:val="center"/>
                  </w:pPr>
                  <w:r>
                    <w:t>INEP</w:t>
                  </w:r>
                </w:p>
              </w:tc>
            </w:tr>
            <w:tr w14:paraId="5F5A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686FB5A7">
                  <w:pPr>
                    <w:spacing w:after="0" w:line="240" w:lineRule="auto"/>
                    <w:jc w:val="center"/>
                    <w:rPr>
                      <w:rFonts w:hint="default"/>
                      <w:lang w:val="pt-BR"/>
                    </w:rPr>
                  </w:pPr>
                  <w:r>
                    <w:t>QT_MAT_BAS_</w:t>
                  </w:r>
                  <w:r>
                    <w:rPr>
                      <w:rFonts w:hint="default"/>
                      <w:lang w:val="pt-BR"/>
                    </w:rPr>
                    <w:t>15</w:t>
                  </w:r>
                  <w:r>
                    <w:t>_</w:t>
                  </w:r>
                  <w:r>
                    <w:rPr>
                      <w:rFonts w:hint="default"/>
                      <w:lang w:val="pt-BR"/>
                    </w:rPr>
                    <w:t>17</w:t>
                  </w:r>
                </w:p>
              </w:tc>
              <w:tc>
                <w:tcPr>
                  <w:tcW w:w="2091" w:type="dxa"/>
                </w:tcPr>
                <w:p w14:paraId="2FC4D054">
                  <w:pPr>
                    <w:spacing w:after="0" w:line="240" w:lineRule="auto"/>
                    <w:jc w:val="center"/>
                  </w:pPr>
                  <w:r>
                    <w:t>Censo Escolar</w:t>
                  </w:r>
                </w:p>
              </w:tc>
              <w:tc>
                <w:tcPr>
                  <w:tcW w:w="2091" w:type="dxa"/>
                </w:tcPr>
                <w:p w14:paraId="010BBCA9">
                  <w:pPr>
                    <w:spacing w:after="0" w:line="240" w:lineRule="auto"/>
                    <w:jc w:val="center"/>
                  </w:pPr>
                  <w:r>
                    <w:t>INEP</w:t>
                  </w:r>
                </w:p>
              </w:tc>
            </w:tr>
          </w:tbl>
          <w:p w14:paraId="45E0687E">
            <w:pPr>
              <w:spacing w:after="0" w:line="240" w:lineRule="auto"/>
              <w:rPr>
                <w:rFonts w:asciiTheme="minorHAnsi" w:hAnsiTheme="minorHAnsi" w:eastAsiaTheme="minorHAnsi" w:cstheme="minorBidi"/>
                <w:sz w:val="22"/>
                <w:szCs w:val="22"/>
                <w:lang w:val="pt-BR" w:eastAsia="en-US" w:bidi="ar-SA"/>
              </w:rPr>
            </w:pPr>
          </w:p>
        </w:tc>
      </w:tr>
      <w:tr w14:paraId="74E0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gridAfter w:val="3"/>
          <w:wAfter w:w="934" w:type="dxa"/>
        </w:trPr>
        <w:tc>
          <w:tcPr>
            <w:tcW w:w="6518" w:type="dxa"/>
            <w:gridSpan w:val="7"/>
          </w:tcPr>
          <w:p w14:paraId="1B73AAA8">
            <w:pPr>
              <w:rPr>
                <w:rFonts w:hint="default"/>
                <w:vertAlign w:val="baseline"/>
                <w:lang w:val="pt-BR"/>
              </w:rPr>
            </w:pPr>
            <w:r>
              <w:rPr>
                <w:rFonts w:hint="default"/>
                <w:vertAlign w:val="baseline"/>
                <w:lang w:val="pt-BR"/>
              </w:rPr>
              <w:t>Níveis de desagregação</w:t>
            </w:r>
          </w:p>
        </w:tc>
        <w:tc>
          <w:tcPr>
            <w:tcW w:w="6518" w:type="dxa"/>
            <w:gridSpan w:val="6"/>
          </w:tcPr>
          <w:p w14:paraId="308178E0">
            <w:pPr>
              <w:jc w:val="center"/>
              <w:rPr>
                <w:rFonts w:hint="default"/>
                <w:vertAlign w:val="baseline"/>
                <w:lang w:val="pt-BR"/>
              </w:rPr>
            </w:pPr>
            <w:r>
              <w:rPr>
                <w:rFonts w:hint="default"/>
                <w:vertAlign w:val="baseline"/>
                <w:lang w:val="pt-BR"/>
              </w:rPr>
              <w:t>Estados e munícipios</w:t>
            </w:r>
          </w:p>
        </w:tc>
      </w:tr>
      <w:tr w14:paraId="7985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gridAfter w:val="2"/>
          <w:wAfter w:w="841" w:type="dxa"/>
        </w:trPr>
        <w:tc>
          <w:tcPr>
            <w:tcW w:w="6518" w:type="dxa"/>
            <w:gridSpan w:val="7"/>
          </w:tcPr>
          <w:p w14:paraId="4ACF5CD5">
            <w:pPr>
              <w:rPr>
                <w:rFonts w:hint="default"/>
                <w:vertAlign w:val="baseline"/>
                <w:lang w:val="pt-BR"/>
              </w:rPr>
            </w:pPr>
            <w:r>
              <w:rPr>
                <w:rFonts w:hint="default"/>
                <w:vertAlign w:val="baseline"/>
                <w:lang w:val="pt-BR"/>
              </w:rPr>
              <w:t>Periodicidades de atualização</w:t>
            </w:r>
          </w:p>
        </w:tc>
        <w:tc>
          <w:tcPr>
            <w:tcW w:w="6611" w:type="dxa"/>
            <w:gridSpan w:val="7"/>
          </w:tcPr>
          <w:p w14:paraId="3FF544A3">
            <w:pPr>
              <w:jc w:val="center"/>
              <w:rPr>
                <w:rFonts w:hint="default"/>
                <w:vertAlign w:val="baseline"/>
                <w:lang w:val="pt-BR"/>
              </w:rPr>
            </w:pPr>
            <w:r>
              <w:rPr>
                <w:rFonts w:hint="default"/>
                <w:vertAlign w:val="baseline"/>
                <w:lang w:val="pt-BR"/>
              </w:rPr>
              <w:t>Anual</w:t>
            </w:r>
          </w:p>
        </w:tc>
      </w:tr>
      <w:tr w14:paraId="7DEB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gridAfter w:val="2"/>
          <w:wAfter w:w="841" w:type="dxa"/>
        </w:trPr>
        <w:tc>
          <w:tcPr>
            <w:tcW w:w="6518" w:type="dxa"/>
            <w:gridSpan w:val="7"/>
          </w:tcPr>
          <w:p w14:paraId="6E0999D5">
            <w:pPr>
              <w:rPr>
                <w:rFonts w:hint="default"/>
                <w:vertAlign w:val="baseline"/>
                <w:lang w:val="pt-BR"/>
              </w:rPr>
            </w:pPr>
            <w:r>
              <w:rPr>
                <w:rFonts w:hint="default"/>
                <w:vertAlign w:val="baseline"/>
                <w:lang w:val="pt-BR"/>
              </w:rPr>
              <w:t>Desvantagens</w:t>
            </w:r>
          </w:p>
        </w:tc>
        <w:tc>
          <w:tcPr>
            <w:tcW w:w="6611" w:type="dxa"/>
            <w:gridSpan w:val="7"/>
          </w:tcPr>
          <w:p w14:paraId="3FA02E8B">
            <w:pPr>
              <w:jc w:val="both"/>
              <w:rPr>
                <w:vertAlign w:val="baseline"/>
              </w:rPr>
            </w:pPr>
            <w:r>
              <w:t>Não segue a fonte oficial sugerida pelo Ministério (Censo Demográfico 2010 e PNAD), para o denominador. b)  Não é comparável com outros entes subnacionais. c)  É utilizado nesse cálculo, a variável de endereço da matrícula (CO_MUNICIPIO), isto é, onde a escola está localizada e a variável (QT_MAT_BAS_</w:t>
            </w:r>
            <w:r>
              <w:rPr>
                <w:rFonts w:hint="default"/>
                <w:lang w:val="pt-BR"/>
              </w:rPr>
              <w:t>15</w:t>
            </w:r>
            <w:r>
              <w:t>_</w:t>
            </w:r>
            <w:r>
              <w:rPr>
                <w:rFonts w:hint="default"/>
                <w:lang w:val="pt-BR"/>
              </w:rPr>
              <w:t>17</w:t>
            </w:r>
            <w:r>
              <w:t xml:space="preserve">), isto é, quantas matriculas de </w:t>
            </w:r>
            <w:r>
              <w:rPr>
                <w:rFonts w:hint="default"/>
                <w:lang w:val="pt-BR"/>
              </w:rPr>
              <w:t>15 a 17</w:t>
            </w:r>
            <w:r>
              <w:t xml:space="preserve"> anos há no município. Ao se utilizar essa variável, (CO_MUNICÍPIO), contabiliza-se estudantes que estudam em município diferentes dos que residem, podendo acarretar em cobertura acima de 100%. Até novembro de 2024, os dados municipais provenientes do último Censo Demográfico 2022 não foram divulgados pelo IBGE.</w:t>
            </w:r>
          </w:p>
        </w:tc>
      </w:tr>
      <w:tr w14:paraId="0C1B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gridAfter w:val="2"/>
          <w:wAfter w:w="841" w:type="dxa"/>
        </w:trPr>
        <w:tc>
          <w:tcPr>
            <w:tcW w:w="6518" w:type="dxa"/>
            <w:gridSpan w:val="7"/>
          </w:tcPr>
          <w:p w14:paraId="6966C68E">
            <w:pPr>
              <w:rPr>
                <w:rFonts w:hint="default"/>
                <w:vertAlign w:val="baseline"/>
                <w:lang w:val="pt-BR"/>
              </w:rPr>
            </w:pPr>
            <w:r>
              <w:rPr>
                <w:rFonts w:hint="default"/>
                <w:vertAlign w:val="baseline"/>
                <w:lang w:val="pt-BR"/>
              </w:rPr>
              <w:t>Vantagens</w:t>
            </w:r>
          </w:p>
        </w:tc>
        <w:tc>
          <w:tcPr>
            <w:tcW w:w="6611" w:type="dxa"/>
            <w:gridSpan w:val="7"/>
          </w:tcPr>
          <w:p w14:paraId="2489812B">
            <w:pPr>
              <w:jc w:val="both"/>
              <w:rPr>
                <w:vertAlign w:val="baseline"/>
              </w:rPr>
            </w:pPr>
            <w:r>
              <w:t>Proporciona acompanhar o desempenho da cobertura de matrículas dos municípios paranaenses de modo desagregado e anual, via fonte alternativa de dados.</w:t>
            </w:r>
          </w:p>
        </w:tc>
      </w:tr>
      <w:tr w14:paraId="1B38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0" w:type="dxa"/>
            <w:gridSpan w:val="16"/>
          </w:tcPr>
          <w:p w14:paraId="2B04CA66">
            <w:pPr>
              <w:jc w:val="center"/>
              <w:rPr>
                <w:rFonts w:hint="default"/>
                <w:b/>
                <w:bCs/>
                <w:vertAlign w:val="baseline"/>
                <w:lang w:val="pt-BR"/>
              </w:rPr>
            </w:pPr>
            <w:r>
              <w:rPr>
                <w:rFonts w:hint="default"/>
                <w:b/>
                <w:bCs/>
                <w:vertAlign w:val="baseline"/>
                <w:lang w:val="pt-BR"/>
              </w:rPr>
              <w:t>Dados/Indicadores: Indicador 3 A</w:t>
            </w:r>
          </w:p>
        </w:tc>
      </w:tr>
      <w:tr w14:paraId="645E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tcPr>
          <w:p w14:paraId="49BDC235">
            <w:pPr>
              <w:rPr>
                <w:rFonts w:hint="default"/>
                <w:b/>
                <w:bCs/>
                <w:vertAlign w:val="baseline"/>
                <w:lang w:val="pt-BR"/>
              </w:rPr>
            </w:pPr>
            <w:r>
              <w:rPr>
                <w:rFonts w:hint="default"/>
                <w:b/>
                <w:bCs/>
                <w:vertAlign w:val="baseline"/>
                <w:lang w:val="pt-BR"/>
              </w:rPr>
              <w:t>Ano</w:t>
            </w:r>
          </w:p>
        </w:tc>
        <w:tc>
          <w:tcPr>
            <w:tcW w:w="1202" w:type="dxa"/>
          </w:tcPr>
          <w:p w14:paraId="2F91DC14">
            <w:pPr>
              <w:rPr>
                <w:rFonts w:hint="default"/>
                <w:b/>
                <w:bCs/>
                <w:vertAlign w:val="baseline"/>
                <w:lang w:val="pt-BR"/>
              </w:rPr>
            </w:pPr>
            <w:r>
              <w:rPr>
                <w:rFonts w:hint="default"/>
                <w:b/>
                <w:bCs/>
                <w:vertAlign w:val="baseline"/>
                <w:lang w:val="pt-BR"/>
              </w:rPr>
              <w:t>2014</w:t>
            </w:r>
          </w:p>
        </w:tc>
        <w:tc>
          <w:tcPr>
            <w:tcW w:w="1202" w:type="dxa"/>
          </w:tcPr>
          <w:p w14:paraId="0536D9D8">
            <w:pPr>
              <w:rPr>
                <w:rFonts w:hint="default"/>
                <w:b/>
                <w:bCs/>
                <w:vertAlign w:val="baseline"/>
                <w:lang w:val="pt-BR"/>
              </w:rPr>
            </w:pPr>
            <w:r>
              <w:rPr>
                <w:rFonts w:hint="default"/>
                <w:b/>
                <w:bCs/>
                <w:vertAlign w:val="baseline"/>
                <w:lang w:val="pt-BR"/>
              </w:rPr>
              <w:t>2015</w:t>
            </w:r>
          </w:p>
        </w:tc>
        <w:tc>
          <w:tcPr>
            <w:tcW w:w="1202" w:type="dxa"/>
          </w:tcPr>
          <w:p w14:paraId="78D68D84">
            <w:pPr>
              <w:rPr>
                <w:rFonts w:hint="default"/>
                <w:b/>
                <w:bCs/>
                <w:vertAlign w:val="baseline"/>
                <w:lang w:val="pt-BR"/>
              </w:rPr>
            </w:pPr>
            <w:r>
              <w:rPr>
                <w:rFonts w:hint="default"/>
                <w:b/>
                <w:bCs/>
                <w:vertAlign w:val="baseline"/>
                <w:lang w:val="pt-BR"/>
              </w:rPr>
              <w:t>2016</w:t>
            </w:r>
          </w:p>
        </w:tc>
        <w:tc>
          <w:tcPr>
            <w:tcW w:w="1202" w:type="dxa"/>
            <w:gridSpan w:val="4"/>
          </w:tcPr>
          <w:p w14:paraId="18223338">
            <w:pPr>
              <w:rPr>
                <w:rFonts w:hint="default"/>
                <w:b/>
                <w:bCs/>
                <w:vertAlign w:val="baseline"/>
                <w:lang w:val="pt-BR"/>
              </w:rPr>
            </w:pPr>
            <w:r>
              <w:rPr>
                <w:rFonts w:hint="default"/>
                <w:b/>
                <w:bCs/>
                <w:vertAlign w:val="baseline"/>
                <w:lang w:val="pt-BR"/>
              </w:rPr>
              <w:t>2017</w:t>
            </w:r>
          </w:p>
        </w:tc>
        <w:tc>
          <w:tcPr>
            <w:tcW w:w="1202" w:type="dxa"/>
          </w:tcPr>
          <w:p w14:paraId="33792456">
            <w:pPr>
              <w:rPr>
                <w:rFonts w:hint="default"/>
                <w:b/>
                <w:bCs/>
                <w:vertAlign w:val="baseline"/>
                <w:lang w:val="pt-BR"/>
              </w:rPr>
            </w:pPr>
            <w:r>
              <w:rPr>
                <w:rFonts w:hint="default"/>
                <w:b/>
                <w:bCs/>
                <w:vertAlign w:val="baseline"/>
                <w:lang w:val="pt-BR"/>
              </w:rPr>
              <w:t>2018</w:t>
            </w:r>
          </w:p>
        </w:tc>
        <w:tc>
          <w:tcPr>
            <w:tcW w:w="1202" w:type="dxa"/>
          </w:tcPr>
          <w:p w14:paraId="0B925F70">
            <w:pPr>
              <w:rPr>
                <w:rFonts w:hint="default"/>
                <w:b/>
                <w:bCs/>
                <w:vertAlign w:val="baseline"/>
                <w:lang w:val="pt-BR"/>
              </w:rPr>
            </w:pPr>
            <w:r>
              <w:rPr>
                <w:rFonts w:hint="default"/>
                <w:b/>
                <w:bCs/>
                <w:vertAlign w:val="baseline"/>
                <w:lang w:val="pt-BR"/>
              </w:rPr>
              <w:t>2019</w:t>
            </w:r>
          </w:p>
        </w:tc>
        <w:tc>
          <w:tcPr>
            <w:tcW w:w="1202" w:type="dxa"/>
          </w:tcPr>
          <w:p w14:paraId="5A60DDB2">
            <w:pPr>
              <w:rPr>
                <w:rFonts w:hint="default"/>
                <w:b/>
                <w:bCs/>
                <w:vertAlign w:val="baseline"/>
                <w:lang w:val="pt-BR"/>
              </w:rPr>
            </w:pPr>
            <w:r>
              <w:rPr>
                <w:rFonts w:hint="default"/>
                <w:b/>
                <w:bCs/>
                <w:vertAlign w:val="baseline"/>
                <w:lang w:val="pt-BR"/>
              </w:rPr>
              <w:t>2020</w:t>
            </w:r>
          </w:p>
        </w:tc>
        <w:tc>
          <w:tcPr>
            <w:tcW w:w="1202" w:type="dxa"/>
          </w:tcPr>
          <w:p w14:paraId="1B0D8D55">
            <w:pPr>
              <w:rPr>
                <w:rFonts w:hint="default"/>
                <w:b/>
                <w:bCs/>
                <w:vertAlign w:val="baseline"/>
                <w:lang w:val="pt-BR"/>
              </w:rPr>
            </w:pPr>
            <w:r>
              <w:rPr>
                <w:rFonts w:hint="default"/>
                <w:b/>
                <w:bCs/>
                <w:vertAlign w:val="baseline"/>
                <w:lang w:val="pt-BR"/>
              </w:rPr>
              <w:t>2021</w:t>
            </w:r>
          </w:p>
        </w:tc>
        <w:tc>
          <w:tcPr>
            <w:tcW w:w="1202" w:type="dxa"/>
            <w:gridSpan w:val="3"/>
          </w:tcPr>
          <w:p w14:paraId="1A1C1C75">
            <w:pPr>
              <w:rPr>
                <w:rFonts w:hint="default"/>
                <w:b/>
                <w:bCs/>
                <w:vertAlign w:val="baseline"/>
                <w:lang w:val="pt-BR"/>
              </w:rPr>
            </w:pPr>
            <w:r>
              <w:rPr>
                <w:rFonts w:hint="default"/>
                <w:b/>
                <w:bCs/>
                <w:vertAlign w:val="baseline"/>
                <w:lang w:val="pt-BR"/>
              </w:rPr>
              <w:t>2022</w:t>
            </w:r>
          </w:p>
        </w:tc>
        <w:tc>
          <w:tcPr>
            <w:tcW w:w="827" w:type="dxa"/>
          </w:tcPr>
          <w:p w14:paraId="64B30153">
            <w:pPr>
              <w:rPr>
                <w:rFonts w:hint="default"/>
                <w:b/>
                <w:bCs/>
                <w:vertAlign w:val="baseline"/>
                <w:lang w:val="pt-BR"/>
              </w:rPr>
            </w:pPr>
            <w:r>
              <w:rPr>
                <w:rFonts w:hint="default"/>
                <w:b/>
                <w:bCs/>
                <w:vertAlign w:val="baseline"/>
                <w:lang w:val="pt-BR"/>
              </w:rPr>
              <w:t>2023</w:t>
            </w:r>
          </w:p>
        </w:tc>
      </w:tr>
      <w:tr w14:paraId="71E5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tcPr>
          <w:p w14:paraId="25876506">
            <w:pPr>
              <w:rPr>
                <w:rFonts w:hint="default"/>
                <w:vertAlign w:val="baseline"/>
                <w:lang w:val="pt-BR"/>
              </w:rPr>
            </w:pPr>
            <w:r>
              <w:rPr>
                <w:rFonts w:hint="default"/>
                <w:vertAlign w:val="baseline"/>
                <w:lang w:val="pt-BR"/>
              </w:rPr>
              <w:t>Indicador</w:t>
            </w:r>
          </w:p>
        </w:tc>
        <w:tc>
          <w:tcPr>
            <w:tcW w:w="1202" w:type="dxa"/>
          </w:tcPr>
          <w:p w14:paraId="5D6BA197">
            <w:pPr>
              <w:rPr>
                <w:rFonts w:hint="default"/>
                <w:vertAlign w:val="baseline"/>
                <w:lang w:val="pt-BR"/>
              </w:rPr>
            </w:pPr>
            <w:r>
              <w:rPr>
                <w:rFonts w:hint="default"/>
                <w:vertAlign w:val="baseline"/>
                <w:lang w:val="pt-BR"/>
              </w:rPr>
              <w:t>87,2%</w:t>
            </w:r>
          </w:p>
        </w:tc>
        <w:tc>
          <w:tcPr>
            <w:tcW w:w="1202" w:type="dxa"/>
          </w:tcPr>
          <w:p w14:paraId="28FF9B09">
            <w:pPr>
              <w:rPr>
                <w:rFonts w:hint="default"/>
                <w:vertAlign w:val="baseline"/>
                <w:lang w:val="pt-BR"/>
              </w:rPr>
            </w:pPr>
            <w:r>
              <w:rPr>
                <w:rFonts w:hint="default"/>
                <w:vertAlign w:val="baseline"/>
                <w:lang w:val="pt-BR"/>
              </w:rPr>
              <w:t>90,9%</w:t>
            </w:r>
          </w:p>
        </w:tc>
        <w:tc>
          <w:tcPr>
            <w:tcW w:w="1202" w:type="dxa"/>
          </w:tcPr>
          <w:p w14:paraId="27FFACEE">
            <w:pPr>
              <w:rPr>
                <w:rFonts w:hint="default"/>
                <w:vertAlign w:val="baseline"/>
                <w:lang w:val="pt-BR"/>
              </w:rPr>
            </w:pPr>
            <w:r>
              <w:rPr>
                <w:rFonts w:hint="default"/>
                <w:vertAlign w:val="baseline"/>
                <w:lang w:val="pt-BR"/>
              </w:rPr>
              <w:t>90,6%</w:t>
            </w:r>
          </w:p>
        </w:tc>
        <w:tc>
          <w:tcPr>
            <w:tcW w:w="1202" w:type="dxa"/>
            <w:gridSpan w:val="4"/>
          </w:tcPr>
          <w:p w14:paraId="48D5E972">
            <w:pPr>
              <w:rPr>
                <w:rFonts w:hint="default"/>
                <w:vertAlign w:val="baseline"/>
                <w:lang w:val="pt-BR"/>
              </w:rPr>
            </w:pPr>
            <w:r>
              <w:rPr>
                <w:rFonts w:hint="default"/>
                <w:vertAlign w:val="baseline"/>
                <w:lang w:val="pt-BR"/>
              </w:rPr>
              <w:t>83,7%</w:t>
            </w:r>
          </w:p>
        </w:tc>
        <w:tc>
          <w:tcPr>
            <w:tcW w:w="1202" w:type="dxa"/>
          </w:tcPr>
          <w:p w14:paraId="4917E4BE">
            <w:pPr>
              <w:rPr>
                <w:rFonts w:hint="default"/>
                <w:vertAlign w:val="baseline"/>
                <w:lang w:val="pt-BR"/>
              </w:rPr>
            </w:pPr>
            <w:r>
              <w:rPr>
                <w:rFonts w:hint="default"/>
                <w:vertAlign w:val="baseline"/>
                <w:lang w:val="pt-BR"/>
              </w:rPr>
              <w:t>87,0%</w:t>
            </w:r>
          </w:p>
        </w:tc>
        <w:tc>
          <w:tcPr>
            <w:tcW w:w="1202" w:type="dxa"/>
          </w:tcPr>
          <w:p w14:paraId="65D9B31B">
            <w:pPr>
              <w:rPr>
                <w:rFonts w:hint="default"/>
                <w:vertAlign w:val="baseline"/>
                <w:lang w:val="pt-BR"/>
              </w:rPr>
            </w:pPr>
            <w:r>
              <w:rPr>
                <w:rFonts w:hint="default"/>
                <w:vertAlign w:val="baseline"/>
                <w:lang w:val="pt-BR"/>
              </w:rPr>
              <w:t>81,4%</w:t>
            </w:r>
          </w:p>
        </w:tc>
        <w:tc>
          <w:tcPr>
            <w:tcW w:w="1202" w:type="dxa"/>
          </w:tcPr>
          <w:p w14:paraId="4875E125">
            <w:pPr>
              <w:rPr>
                <w:rFonts w:hint="default"/>
                <w:vertAlign w:val="baseline"/>
                <w:lang w:val="pt-BR"/>
              </w:rPr>
            </w:pPr>
            <w:r>
              <w:rPr>
                <w:rFonts w:hint="default"/>
                <w:vertAlign w:val="baseline"/>
                <w:lang w:val="pt-BR"/>
              </w:rPr>
              <w:t>107,0%</w:t>
            </w:r>
          </w:p>
        </w:tc>
        <w:tc>
          <w:tcPr>
            <w:tcW w:w="1202" w:type="dxa"/>
          </w:tcPr>
          <w:p w14:paraId="579C274B">
            <w:pPr>
              <w:rPr>
                <w:rFonts w:hint="default"/>
                <w:vertAlign w:val="baseline"/>
                <w:lang w:val="pt-BR"/>
              </w:rPr>
            </w:pPr>
            <w:r>
              <w:rPr>
                <w:rFonts w:hint="default"/>
                <w:vertAlign w:val="baseline"/>
                <w:lang w:val="pt-BR"/>
              </w:rPr>
              <w:t>115,9%</w:t>
            </w:r>
          </w:p>
        </w:tc>
        <w:tc>
          <w:tcPr>
            <w:tcW w:w="1202" w:type="dxa"/>
            <w:gridSpan w:val="3"/>
          </w:tcPr>
          <w:p w14:paraId="49BE08F1">
            <w:pPr>
              <w:rPr>
                <w:rFonts w:hint="default"/>
                <w:vertAlign w:val="baseline"/>
                <w:lang w:val="pt-BR"/>
              </w:rPr>
            </w:pPr>
            <w:r>
              <w:rPr>
                <w:rFonts w:hint="default"/>
                <w:vertAlign w:val="baseline"/>
                <w:lang w:val="pt-BR"/>
              </w:rPr>
              <w:t>118,0%</w:t>
            </w:r>
          </w:p>
        </w:tc>
        <w:tc>
          <w:tcPr>
            <w:tcW w:w="827" w:type="dxa"/>
          </w:tcPr>
          <w:p w14:paraId="4C34B15F">
            <w:pPr>
              <w:rPr>
                <w:rFonts w:hint="default"/>
                <w:vertAlign w:val="baseline"/>
                <w:lang w:val="pt-BR"/>
              </w:rPr>
            </w:pPr>
            <w:r>
              <w:rPr>
                <w:rFonts w:hint="default"/>
                <w:vertAlign w:val="baseline"/>
                <w:lang w:val="pt-BR"/>
              </w:rPr>
              <w:t>*</w:t>
            </w:r>
          </w:p>
        </w:tc>
      </w:tr>
      <w:tr w14:paraId="552B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0" w:type="dxa"/>
            <w:gridSpan w:val="16"/>
          </w:tcPr>
          <w:p w14:paraId="6F6BD468">
            <w:pPr>
              <w:jc w:val="center"/>
              <w:rPr>
                <w:rFonts w:hint="default"/>
                <w:vertAlign w:val="baseline"/>
                <w:lang w:val="pt-BR"/>
              </w:rPr>
            </w:pPr>
            <w:r>
              <w:rPr>
                <w:rFonts w:hint="default"/>
                <w:vertAlign w:val="baseline"/>
                <w:lang w:val="pt-BR"/>
              </w:rPr>
              <w:t>Fonte: IPARDES - Projeção da População dos Municípios do Paraná - Revisão 2018 (Tabulações Especiais PNE)</w:t>
            </w:r>
          </w:p>
        </w:tc>
      </w:tr>
      <w:tr w14:paraId="58B1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0" w:type="dxa"/>
            <w:gridSpan w:val="16"/>
          </w:tcPr>
          <w:p w14:paraId="0B0A32A3">
            <w:pPr>
              <w:jc w:val="center"/>
              <w:rPr>
                <w:rFonts w:hint="default"/>
                <w:vertAlign w:val="baseline"/>
                <w:lang w:val="pt-BR"/>
              </w:rPr>
            </w:pPr>
            <w:r>
              <w:rPr>
                <w:rFonts w:hint="default"/>
                <w:vertAlign w:val="baseline"/>
                <w:lang w:val="pt-BR"/>
              </w:rPr>
              <w:t>Fonte: INEP - Censo Escolar Educação Básica</w:t>
            </w:r>
          </w:p>
        </w:tc>
      </w:tr>
    </w:tbl>
    <w:p w14:paraId="52382B45"/>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8"/>
        <w:gridCol w:w="40"/>
        <w:gridCol w:w="6472"/>
        <w:gridCol w:w="46"/>
      </w:tblGrid>
      <w:tr w14:paraId="02D1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4"/>
          </w:tcPr>
          <w:p w14:paraId="49EABB80">
            <w:pPr>
              <w:pStyle w:val="16"/>
              <w:numPr>
                <w:ilvl w:val="0"/>
                <w:numId w:val="0"/>
              </w:numPr>
              <w:jc w:val="center"/>
              <w:rPr>
                <w:rFonts w:hint="default"/>
                <w:b/>
                <w:vertAlign w:val="baseline"/>
                <w:lang w:val="pt-BR"/>
              </w:rPr>
            </w:pPr>
            <w:r>
              <w:rPr>
                <w:rFonts w:hint="default"/>
                <w:b/>
                <w:vertAlign w:val="baseline"/>
                <w:lang w:val="pt-BR"/>
              </w:rPr>
              <w:t>Ficha metodológica para o indicador 3B - base PNE</w:t>
            </w:r>
          </w:p>
        </w:tc>
      </w:tr>
      <w:tr w14:paraId="1C82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46" w:type="dxa"/>
        </w:trPr>
        <w:tc>
          <w:tcPr>
            <w:tcW w:w="6478" w:type="dxa"/>
            <w:tcBorders>
              <w:top w:val="outset" w:color="auto" w:sz="6" w:space="0"/>
              <w:left w:val="outset" w:color="auto" w:sz="6" w:space="0"/>
              <w:bottom w:val="outset" w:color="auto" w:sz="6" w:space="0"/>
              <w:right w:val="outset" w:color="auto" w:sz="6" w:space="0"/>
            </w:tcBorders>
          </w:tcPr>
          <w:p w14:paraId="2BE40B49">
            <w:pPr>
              <w:spacing w:after="160" w:line="259" w:lineRule="auto"/>
              <w:rPr>
                <w:b/>
              </w:rPr>
            </w:pPr>
            <w:r>
              <w:t xml:space="preserve"> </w:t>
            </w:r>
            <w:r>
              <w:rPr>
                <w:b/>
              </w:rPr>
              <w:t>Meta</w:t>
            </w:r>
          </w:p>
        </w:tc>
        <w:tc>
          <w:tcPr>
            <w:tcW w:w="6512" w:type="dxa"/>
            <w:gridSpan w:val="2"/>
            <w:tcBorders>
              <w:top w:val="outset" w:color="auto" w:sz="6" w:space="0"/>
              <w:left w:val="outset" w:color="auto" w:sz="6" w:space="0"/>
              <w:bottom w:val="outset" w:color="auto" w:sz="6" w:space="0"/>
              <w:right w:val="outset" w:color="auto" w:sz="6" w:space="0"/>
            </w:tcBorders>
          </w:tcPr>
          <w:p w14:paraId="43AEE69C">
            <w:pPr>
              <w:spacing w:after="160" w:line="259" w:lineRule="auto"/>
              <w:rPr>
                <w:b/>
              </w:rPr>
            </w:pPr>
            <w:r>
              <w:rPr>
                <w:b/>
              </w:rPr>
              <w:t>Texto da meta</w:t>
            </w:r>
          </w:p>
        </w:tc>
      </w:tr>
      <w:tr w14:paraId="0D88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46" w:type="dxa"/>
        </w:trPr>
        <w:tc>
          <w:tcPr>
            <w:tcW w:w="6478" w:type="dxa"/>
            <w:tcBorders>
              <w:top w:val="nil"/>
              <w:left w:val="outset" w:color="auto" w:sz="6" w:space="0"/>
              <w:bottom w:val="outset" w:color="auto" w:sz="6" w:space="0"/>
              <w:right w:val="outset" w:color="auto" w:sz="6" w:space="0"/>
            </w:tcBorders>
          </w:tcPr>
          <w:p w14:paraId="34E1DDFA">
            <w:pPr>
              <w:spacing w:after="160" w:line="259" w:lineRule="auto"/>
            </w:pPr>
            <w:r>
              <w:t>3</w:t>
            </w:r>
          </w:p>
          <w:p w14:paraId="0F92ECFB">
            <w:pPr>
              <w:spacing w:after="160" w:line="259" w:lineRule="auto"/>
            </w:pPr>
          </w:p>
        </w:tc>
        <w:tc>
          <w:tcPr>
            <w:tcW w:w="6512" w:type="dxa"/>
            <w:gridSpan w:val="2"/>
            <w:tcBorders>
              <w:top w:val="nil"/>
              <w:left w:val="outset" w:color="auto" w:sz="6" w:space="0"/>
              <w:bottom w:val="outset" w:color="auto" w:sz="6" w:space="0"/>
              <w:right w:val="outset" w:color="auto" w:sz="6" w:space="0"/>
            </w:tcBorders>
          </w:tcPr>
          <w:p w14:paraId="4AFBEB44">
            <w:pPr>
              <w:spacing w:after="160" w:line="259" w:lineRule="auto"/>
              <w:jc w:val="both"/>
              <w:rPr>
                <w:i/>
              </w:rPr>
            </w:pPr>
            <w:r>
              <w:rPr>
                <w:bCs/>
              </w:rPr>
              <w:t>Universalizar, até 2016, o atendimento escolar para toda a população de 15 (quinze) a 17 (dezessete) anos e elevar, até o final do período de vigência deste PME, a taxa líquida de matrículas no ensino médio para 85% (oitenta e cinco por cento).</w:t>
            </w:r>
          </w:p>
        </w:tc>
      </w:tr>
      <w:tr w14:paraId="5FE5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46" w:type="dxa"/>
        </w:trPr>
        <w:tc>
          <w:tcPr>
            <w:tcW w:w="6478" w:type="dxa"/>
            <w:tcBorders>
              <w:top w:val="outset" w:color="auto" w:sz="6" w:space="0"/>
              <w:left w:val="outset" w:color="auto" w:sz="6" w:space="0"/>
              <w:bottom w:val="outset" w:color="auto" w:sz="6" w:space="0"/>
              <w:right w:val="outset" w:color="auto" w:sz="6" w:space="0"/>
            </w:tcBorders>
          </w:tcPr>
          <w:p w14:paraId="40151A23">
            <w:pPr>
              <w:spacing w:after="160" w:line="259" w:lineRule="auto"/>
              <w:rPr>
                <w:rFonts w:hint="default"/>
                <w:lang w:val="pt-BR"/>
              </w:rPr>
            </w:pPr>
            <w:r>
              <w:rPr>
                <w:rFonts w:hint="default"/>
                <w:lang w:val="pt-BR"/>
              </w:rPr>
              <w:t>Indicador 3 B Nacional</w:t>
            </w:r>
          </w:p>
        </w:tc>
        <w:tc>
          <w:tcPr>
            <w:tcW w:w="6512" w:type="dxa"/>
            <w:gridSpan w:val="2"/>
            <w:tcBorders>
              <w:top w:val="outset" w:color="auto" w:sz="6" w:space="0"/>
              <w:left w:val="outset" w:color="auto" w:sz="6" w:space="0"/>
              <w:bottom w:val="outset" w:color="auto" w:sz="6" w:space="0"/>
              <w:right w:val="outset" w:color="auto" w:sz="6" w:space="0"/>
            </w:tcBorders>
          </w:tcPr>
          <w:p w14:paraId="24886B5F">
            <w:pPr>
              <w:spacing w:after="160" w:line="259" w:lineRule="auto"/>
              <w:jc w:val="both"/>
              <w:rPr>
                <w:rFonts w:hint="default"/>
                <w:lang w:val="pt-BR"/>
              </w:rPr>
            </w:pPr>
            <w:r>
              <w:rPr>
                <w:rFonts w:hint="default"/>
                <w:lang w:val="pt-BR"/>
              </w:rPr>
              <w:t>Percentual da População de 15 a 17 anos matriculadas no Ensino Médio.</w:t>
            </w:r>
          </w:p>
        </w:tc>
      </w:tr>
      <w:tr w14:paraId="4DE1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46" w:type="dxa"/>
        </w:trPr>
        <w:tc>
          <w:tcPr>
            <w:tcW w:w="6478" w:type="dxa"/>
            <w:tcBorders>
              <w:top w:val="outset" w:color="auto" w:sz="6" w:space="0"/>
              <w:left w:val="outset" w:color="auto" w:sz="6" w:space="0"/>
              <w:bottom w:val="outset" w:color="auto" w:sz="6" w:space="0"/>
              <w:right w:val="outset" w:color="auto" w:sz="6" w:space="0"/>
            </w:tcBorders>
          </w:tcPr>
          <w:p w14:paraId="05C801AE">
            <w:pPr>
              <w:spacing w:after="160" w:line="259" w:lineRule="auto"/>
              <w:rPr>
                <w:rFonts w:hint="default"/>
                <w:lang w:val="pt-BR"/>
              </w:rPr>
            </w:pPr>
            <w:r>
              <w:t xml:space="preserve">Indicador </w:t>
            </w:r>
            <w:r>
              <w:rPr>
                <w:rFonts w:hint="default"/>
                <w:lang w:val="pt-BR"/>
              </w:rPr>
              <w:t>3 B Proposto</w:t>
            </w:r>
          </w:p>
        </w:tc>
        <w:tc>
          <w:tcPr>
            <w:tcW w:w="6512" w:type="dxa"/>
            <w:gridSpan w:val="2"/>
            <w:tcBorders>
              <w:top w:val="outset" w:color="auto" w:sz="6" w:space="0"/>
              <w:left w:val="outset" w:color="auto" w:sz="6" w:space="0"/>
              <w:bottom w:val="outset" w:color="auto" w:sz="6" w:space="0"/>
              <w:right w:val="outset" w:color="auto" w:sz="6" w:space="0"/>
            </w:tcBorders>
          </w:tcPr>
          <w:p w14:paraId="6F3811DF">
            <w:pPr>
              <w:spacing w:after="160" w:line="259" w:lineRule="auto"/>
              <w:jc w:val="both"/>
            </w:pPr>
            <w:r>
              <w:t>Proporção de pessoas de 15 a 17 anos matriculadas no Ensino Médio</w:t>
            </w:r>
          </w:p>
        </w:tc>
      </w:tr>
      <w:tr w14:paraId="3A10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46" w:type="dxa"/>
        </w:trPr>
        <w:tc>
          <w:tcPr>
            <w:tcW w:w="6478" w:type="dxa"/>
            <w:tcBorders>
              <w:top w:val="nil"/>
              <w:left w:val="outset" w:color="auto" w:sz="6" w:space="0"/>
              <w:bottom w:val="outset" w:color="auto" w:sz="6" w:space="0"/>
              <w:right w:val="outset" w:color="auto" w:sz="6" w:space="0"/>
            </w:tcBorders>
          </w:tcPr>
          <w:p w14:paraId="4844D34B">
            <w:pPr>
              <w:spacing w:after="160" w:line="259" w:lineRule="auto"/>
            </w:pPr>
            <w:r>
              <w:t>Conceitos e definições</w:t>
            </w:r>
          </w:p>
        </w:tc>
        <w:tc>
          <w:tcPr>
            <w:tcW w:w="6512" w:type="dxa"/>
            <w:gridSpan w:val="2"/>
            <w:tcBorders>
              <w:top w:val="nil"/>
              <w:left w:val="outset" w:color="auto" w:sz="6" w:space="0"/>
              <w:bottom w:val="outset" w:color="auto" w:sz="6" w:space="0"/>
              <w:right w:val="outset" w:color="auto" w:sz="6" w:space="0"/>
            </w:tcBorders>
          </w:tcPr>
          <w:p w14:paraId="7514F7C9">
            <w:pPr>
              <w:spacing w:after="160" w:line="259" w:lineRule="auto"/>
              <w:jc w:val="both"/>
            </w:pPr>
            <w:r>
              <w:t>Percentual de pessoas de 15 a 17 anos que estão matriculadas no município no Ensino Médio Regular. Mede a taxa líquida de atendimento no Município na faixa etária.</w:t>
            </w:r>
          </w:p>
        </w:tc>
      </w:tr>
      <w:tr w14:paraId="4014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46" w:type="dxa"/>
        </w:trPr>
        <w:tc>
          <w:tcPr>
            <w:tcW w:w="6478" w:type="dxa"/>
            <w:tcBorders>
              <w:top w:val="nil"/>
              <w:left w:val="outset" w:color="auto" w:sz="6" w:space="0"/>
              <w:bottom w:val="outset" w:color="auto" w:sz="6" w:space="0"/>
              <w:right w:val="outset" w:color="auto" w:sz="6" w:space="0"/>
            </w:tcBorders>
          </w:tcPr>
          <w:p w14:paraId="511EA6A2">
            <w:pPr>
              <w:spacing w:after="160" w:line="259" w:lineRule="auto"/>
            </w:pPr>
            <w:r>
              <w:t>Fórmula de cálculo</w:t>
            </w:r>
          </w:p>
        </w:tc>
        <w:tc>
          <w:tcPr>
            <w:tcW w:w="6512" w:type="dxa"/>
            <w:gridSpan w:val="2"/>
            <w:tcBorders>
              <w:top w:val="nil"/>
              <w:left w:val="outset" w:color="auto" w:sz="6" w:space="0"/>
              <w:bottom w:val="outset" w:color="auto" w:sz="6" w:space="0"/>
              <w:right w:val="outset" w:color="auto" w:sz="6" w:space="0"/>
            </w:tcBorders>
          </w:tcPr>
          <w:p w14:paraId="23410E7B">
            <w:pPr>
              <w:spacing w:after="160" w:line="259" w:lineRule="auto"/>
              <w:jc w:val="both"/>
            </w:pPr>
            <w:r>
              <w:t>(Número de pessoas de 15 a 17 anos matriculadas no Ensino Médio Regular / Número total de pessoas de 15 a 17 anos) X 100</w:t>
            </w:r>
          </w:p>
        </w:tc>
      </w:tr>
      <w:tr w14:paraId="68EF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46" w:type="dxa"/>
        </w:trPr>
        <w:tc>
          <w:tcPr>
            <w:tcW w:w="6478" w:type="dxa"/>
            <w:tcBorders>
              <w:top w:val="nil"/>
              <w:left w:val="outset" w:color="auto" w:sz="6" w:space="0"/>
              <w:bottom w:val="outset" w:color="auto" w:sz="6" w:space="0"/>
              <w:right w:val="outset" w:color="auto" w:sz="6" w:space="0"/>
            </w:tcBorders>
          </w:tcPr>
          <w:p w14:paraId="4F258D65">
            <w:pPr>
              <w:spacing w:after="160" w:line="259" w:lineRule="auto"/>
            </w:pPr>
            <w:r>
              <w:t>Unidade de medida</w:t>
            </w:r>
          </w:p>
        </w:tc>
        <w:tc>
          <w:tcPr>
            <w:tcW w:w="6512" w:type="dxa"/>
            <w:gridSpan w:val="2"/>
            <w:tcBorders>
              <w:top w:val="nil"/>
              <w:left w:val="outset" w:color="auto" w:sz="6" w:space="0"/>
              <w:bottom w:val="outset" w:color="auto" w:sz="6" w:space="0"/>
              <w:right w:val="outset" w:color="auto" w:sz="6" w:space="0"/>
            </w:tcBorders>
          </w:tcPr>
          <w:p w14:paraId="7CD13D23">
            <w:pPr>
              <w:spacing w:after="160" w:line="259" w:lineRule="auto"/>
            </w:pPr>
            <w:r>
              <w:t>% de Pessoas.</w:t>
            </w:r>
          </w:p>
        </w:tc>
      </w:tr>
      <w:tr w14:paraId="2356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c>
          <w:tcPr>
            <w:tcW w:w="6518" w:type="dxa"/>
            <w:gridSpan w:val="2"/>
            <w:shd w:val="clear" w:color="auto" w:fill="auto"/>
            <w:vAlign w:val="top"/>
          </w:tcPr>
          <w:p w14:paraId="6C940323">
            <w:pPr>
              <w:rPr>
                <w:rFonts w:asciiTheme="minorHAnsi" w:hAnsiTheme="minorHAnsi" w:eastAsiaTheme="minorHAnsi" w:cstheme="minorBidi"/>
                <w:sz w:val="22"/>
                <w:szCs w:val="22"/>
                <w:lang w:val="pt-BR" w:eastAsia="en-US" w:bidi="ar-SA"/>
              </w:rPr>
            </w:pPr>
            <w:r>
              <w:rPr>
                <w:b/>
              </w:rPr>
              <w:t xml:space="preserve"> </w:t>
            </w:r>
            <w:r>
              <w:t xml:space="preserve"> Variáveis que compõem o indicador, suas respectivas fontes e instituições produtoras.</w:t>
            </w:r>
          </w:p>
        </w:tc>
        <w:tc>
          <w:tcPr>
            <w:tcW w:w="6518" w:type="dxa"/>
            <w:gridSpan w:val="2"/>
            <w:shd w:val="clear" w:color="auto" w:fill="auto"/>
            <w:vAlign w:val="top"/>
          </w:tcPr>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083"/>
              <w:gridCol w:w="2082"/>
            </w:tblGrid>
            <w:tr w14:paraId="6DFD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64D62E78">
                  <w:pPr>
                    <w:spacing w:after="0" w:line="240" w:lineRule="auto"/>
                  </w:pPr>
                  <w:r>
                    <w:t>Variáveis</w:t>
                  </w:r>
                </w:p>
              </w:tc>
              <w:tc>
                <w:tcPr>
                  <w:tcW w:w="2091" w:type="dxa"/>
                </w:tcPr>
                <w:p w14:paraId="144DE05E">
                  <w:pPr>
                    <w:spacing w:after="0" w:line="240" w:lineRule="auto"/>
                  </w:pPr>
                  <w:r>
                    <w:t>Fontes</w:t>
                  </w:r>
                </w:p>
              </w:tc>
              <w:tc>
                <w:tcPr>
                  <w:tcW w:w="2091" w:type="dxa"/>
                </w:tcPr>
                <w:p w14:paraId="47DEC820">
                  <w:pPr>
                    <w:spacing w:after="0" w:line="240" w:lineRule="auto"/>
                  </w:pPr>
                  <w:r>
                    <w:t>Instituições</w:t>
                  </w:r>
                </w:p>
              </w:tc>
            </w:tr>
            <w:tr w14:paraId="0866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93A3A71">
                  <w:pPr>
                    <w:spacing w:after="0" w:line="240" w:lineRule="auto"/>
                    <w:jc w:val="center"/>
                  </w:pPr>
                  <w:r>
                    <w:t>População total de</w:t>
                  </w:r>
                  <w:r>
                    <w:rPr>
                      <w:rFonts w:hint="default"/>
                      <w:lang w:val="pt-BR"/>
                    </w:rPr>
                    <w:t xml:space="preserve"> 15 a 17</w:t>
                  </w:r>
                  <w:r>
                    <w:t xml:space="preserve"> anos de idade</w:t>
                  </w:r>
                </w:p>
              </w:tc>
              <w:tc>
                <w:tcPr>
                  <w:tcW w:w="2091" w:type="dxa"/>
                </w:tcPr>
                <w:p w14:paraId="0F8C90CC">
                  <w:pPr>
                    <w:spacing w:after="0" w:line="240" w:lineRule="auto"/>
                    <w:jc w:val="center"/>
                  </w:pPr>
                  <w:r>
                    <w:t>Projeção Populacional dos municípios Paranaenses (revisão 2018)</w:t>
                  </w:r>
                </w:p>
              </w:tc>
              <w:tc>
                <w:tcPr>
                  <w:tcW w:w="2091" w:type="dxa"/>
                </w:tcPr>
                <w:p w14:paraId="4B6EA85B">
                  <w:pPr>
                    <w:spacing w:after="0" w:line="240" w:lineRule="auto"/>
                    <w:jc w:val="center"/>
                  </w:pPr>
                  <w:r>
                    <w:t>IPARDES</w:t>
                  </w:r>
                </w:p>
              </w:tc>
            </w:tr>
            <w:tr w14:paraId="722D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1DEBC15B">
                  <w:pPr>
                    <w:spacing w:after="0" w:line="240" w:lineRule="auto"/>
                    <w:jc w:val="center"/>
                  </w:pPr>
                  <w:r>
                    <w:t>CO_MUNICIPIO</w:t>
                  </w:r>
                </w:p>
              </w:tc>
              <w:tc>
                <w:tcPr>
                  <w:tcW w:w="2091" w:type="dxa"/>
                </w:tcPr>
                <w:p w14:paraId="408D6B4A">
                  <w:pPr>
                    <w:spacing w:after="0" w:line="240" w:lineRule="auto"/>
                    <w:jc w:val="center"/>
                  </w:pPr>
                  <w:r>
                    <w:t>Censo Escolar</w:t>
                  </w:r>
                </w:p>
              </w:tc>
              <w:tc>
                <w:tcPr>
                  <w:tcW w:w="2091" w:type="dxa"/>
                </w:tcPr>
                <w:p w14:paraId="0CCC93D8">
                  <w:pPr>
                    <w:spacing w:after="0" w:line="240" w:lineRule="auto"/>
                    <w:jc w:val="center"/>
                  </w:pPr>
                  <w:r>
                    <w:t>INEP</w:t>
                  </w:r>
                </w:p>
              </w:tc>
            </w:tr>
            <w:tr w14:paraId="67B9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311679CA">
                  <w:pPr>
                    <w:spacing w:after="0" w:line="240" w:lineRule="auto"/>
                    <w:jc w:val="center"/>
                    <w:rPr>
                      <w:rFonts w:hint="default"/>
                      <w:lang w:val="pt-BR"/>
                    </w:rPr>
                  </w:pPr>
                  <w:r>
                    <w:t>QT_MAT_BAS_</w:t>
                  </w:r>
                  <w:r>
                    <w:rPr>
                      <w:rFonts w:hint="default"/>
                      <w:lang w:val="pt-BR"/>
                    </w:rPr>
                    <w:t>15</w:t>
                  </w:r>
                  <w:r>
                    <w:t>_</w:t>
                  </w:r>
                  <w:r>
                    <w:rPr>
                      <w:rFonts w:hint="default"/>
                      <w:lang w:val="pt-BR"/>
                    </w:rPr>
                    <w:t>17</w:t>
                  </w:r>
                </w:p>
              </w:tc>
              <w:tc>
                <w:tcPr>
                  <w:tcW w:w="2091" w:type="dxa"/>
                </w:tcPr>
                <w:p w14:paraId="6F60B0C7">
                  <w:pPr>
                    <w:spacing w:after="0" w:line="240" w:lineRule="auto"/>
                    <w:jc w:val="center"/>
                  </w:pPr>
                  <w:r>
                    <w:t>Censo Escolar</w:t>
                  </w:r>
                </w:p>
              </w:tc>
              <w:tc>
                <w:tcPr>
                  <w:tcW w:w="2091" w:type="dxa"/>
                </w:tcPr>
                <w:p w14:paraId="17ABE27A">
                  <w:pPr>
                    <w:spacing w:after="0" w:line="240" w:lineRule="auto"/>
                    <w:jc w:val="center"/>
                  </w:pPr>
                  <w:r>
                    <w:t>INEP</w:t>
                  </w:r>
                </w:p>
              </w:tc>
            </w:tr>
          </w:tbl>
          <w:p w14:paraId="6E5A8588">
            <w:pPr>
              <w:spacing w:after="0" w:line="240" w:lineRule="auto"/>
              <w:rPr>
                <w:rFonts w:asciiTheme="minorHAnsi" w:hAnsiTheme="minorHAnsi" w:eastAsiaTheme="minorHAnsi" w:cstheme="minorBidi"/>
                <w:sz w:val="22"/>
                <w:szCs w:val="22"/>
                <w:lang w:val="pt-BR" w:eastAsia="en-US" w:bidi="ar-SA"/>
              </w:rPr>
            </w:pPr>
          </w:p>
        </w:tc>
      </w:tr>
      <w:tr w14:paraId="30EE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c>
          <w:tcPr>
            <w:tcW w:w="6518" w:type="dxa"/>
            <w:gridSpan w:val="2"/>
          </w:tcPr>
          <w:p w14:paraId="1C2235B3">
            <w:pPr>
              <w:rPr>
                <w:rFonts w:hint="default"/>
                <w:vertAlign w:val="baseline"/>
                <w:lang w:val="pt-BR"/>
              </w:rPr>
            </w:pPr>
            <w:r>
              <w:rPr>
                <w:rFonts w:hint="default"/>
                <w:vertAlign w:val="baseline"/>
                <w:lang w:val="pt-BR"/>
              </w:rPr>
              <w:t>Níveis de desagregação</w:t>
            </w:r>
          </w:p>
        </w:tc>
        <w:tc>
          <w:tcPr>
            <w:tcW w:w="6518" w:type="dxa"/>
            <w:gridSpan w:val="2"/>
          </w:tcPr>
          <w:p w14:paraId="6F977558">
            <w:pPr>
              <w:jc w:val="center"/>
              <w:rPr>
                <w:rFonts w:hint="default"/>
                <w:vertAlign w:val="baseline"/>
                <w:lang w:val="pt-BR"/>
              </w:rPr>
            </w:pPr>
            <w:r>
              <w:rPr>
                <w:rFonts w:hint="default"/>
                <w:vertAlign w:val="baseline"/>
                <w:lang w:val="pt-BR"/>
              </w:rPr>
              <w:t>Estados e munícipios</w:t>
            </w:r>
          </w:p>
        </w:tc>
      </w:tr>
      <w:tr w14:paraId="459B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c>
          <w:tcPr>
            <w:tcW w:w="6518" w:type="dxa"/>
            <w:gridSpan w:val="2"/>
          </w:tcPr>
          <w:p w14:paraId="48F95F36">
            <w:pPr>
              <w:rPr>
                <w:rFonts w:hint="default"/>
                <w:vertAlign w:val="baseline"/>
                <w:lang w:val="pt-BR"/>
              </w:rPr>
            </w:pPr>
            <w:r>
              <w:rPr>
                <w:rFonts w:hint="default"/>
                <w:vertAlign w:val="baseline"/>
                <w:lang w:val="pt-BR"/>
              </w:rPr>
              <w:t>Periodicidades de atualização</w:t>
            </w:r>
          </w:p>
        </w:tc>
        <w:tc>
          <w:tcPr>
            <w:tcW w:w="6518" w:type="dxa"/>
            <w:gridSpan w:val="2"/>
          </w:tcPr>
          <w:p w14:paraId="5C45C2F6">
            <w:pPr>
              <w:jc w:val="center"/>
              <w:rPr>
                <w:rFonts w:hint="default"/>
                <w:vertAlign w:val="baseline"/>
                <w:lang w:val="pt-BR"/>
              </w:rPr>
            </w:pPr>
            <w:r>
              <w:rPr>
                <w:rFonts w:hint="default"/>
                <w:vertAlign w:val="baseline"/>
                <w:lang w:val="pt-BR"/>
              </w:rPr>
              <w:t>Anual</w:t>
            </w:r>
          </w:p>
        </w:tc>
      </w:tr>
      <w:tr w14:paraId="225D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c>
          <w:tcPr>
            <w:tcW w:w="6518" w:type="dxa"/>
            <w:gridSpan w:val="2"/>
          </w:tcPr>
          <w:p w14:paraId="577A912D">
            <w:pPr>
              <w:rPr>
                <w:rFonts w:hint="default"/>
                <w:vertAlign w:val="baseline"/>
                <w:lang w:val="pt-BR"/>
              </w:rPr>
            </w:pPr>
            <w:r>
              <w:rPr>
                <w:rFonts w:hint="default"/>
                <w:vertAlign w:val="baseline"/>
                <w:lang w:val="pt-BR"/>
              </w:rPr>
              <w:t>Desvantagens</w:t>
            </w:r>
          </w:p>
        </w:tc>
        <w:tc>
          <w:tcPr>
            <w:tcW w:w="6518" w:type="dxa"/>
            <w:gridSpan w:val="2"/>
          </w:tcPr>
          <w:p w14:paraId="44DC29A6">
            <w:pPr>
              <w:jc w:val="both"/>
              <w:rPr>
                <w:vertAlign w:val="baseline"/>
              </w:rPr>
            </w:pPr>
            <w:r>
              <w:t>Não segue a fonte oficial sugerida pelo Ministério (Censo Demográfico 2010 e PNAD), para o denominador. b)  Não é comparável com outros entes subnacionais. c)  É utilizado nesse cálculo, a variável de endereço da matrícula (CO_MUNICIPIO), isto é, onde a escola está localizada e a variável (QT_MAT_BAS_</w:t>
            </w:r>
            <w:r>
              <w:rPr>
                <w:rFonts w:hint="default"/>
                <w:lang w:val="pt-BR"/>
              </w:rPr>
              <w:t>15</w:t>
            </w:r>
            <w:r>
              <w:t>_</w:t>
            </w:r>
            <w:r>
              <w:rPr>
                <w:rFonts w:hint="default"/>
                <w:lang w:val="pt-BR"/>
              </w:rPr>
              <w:t>17</w:t>
            </w:r>
            <w:r>
              <w:t xml:space="preserve">), isto é, quantas matriculas de </w:t>
            </w:r>
            <w:r>
              <w:rPr>
                <w:rFonts w:hint="default"/>
                <w:lang w:val="pt-BR"/>
              </w:rPr>
              <w:t>15 a 17</w:t>
            </w:r>
            <w:r>
              <w:t xml:space="preserve"> anos há no município. Ao se utilizar essa variável, (CO_MUNICÍPIO), contabiliza-se estudantes que estudam em município diferentes dos que residem, podendo acarretar em cobertura acima de 100%. Até novembro de 2024, os dados municipais provenientes do último Censo Demográfico 2022 não foram divulgados pelo IBGE.</w:t>
            </w:r>
          </w:p>
        </w:tc>
      </w:tr>
      <w:tr w14:paraId="57A9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c>
          <w:tcPr>
            <w:tcW w:w="6518" w:type="dxa"/>
            <w:gridSpan w:val="2"/>
          </w:tcPr>
          <w:p w14:paraId="62DCA87C">
            <w:pPr>
              <w:rPr>
                <w:rFonts w:hint="default"/>
                <w:vertAlign w:val="baseline"/>
                <w:lang w:val="pt-BR"/>
              </w:rPr>
            </w:pPr>
            <w:r>
              <w:rPr>
                <w:rFonts w:hint="default"/>
                <w:vertAlign w:val="baseline"/>
                <w:lang w:val="pt-BR"/>
              </w:rPr>
              <w:t>Vantagens</w:t>
            </w:r>
          </w:p>
        </w:tc>
        <w:tc>
          <w:tcPr>
            <w:tcW w:w="6518" w:type="dxa"/>
            <w:gridSpan w:val="2"/>
          </w:tcPr>
          <w:p w14:paraId="679CA89D">
            <w:pPr>
              <w:jc w:val="both"/>
              <w:rPr>
                <w:vertAlign w:val="baseline"/>
              </w:rPr>
            </w:pPr>
            <w:r>
              <w:t>Proporciona acompanhar o desempenho da cobertura de matrículas dos municípios paranaenses de modo desagregado e anual, via fonte alternativa de dados.</w:t>
            </w:r>
          </w:p>
        </w:tc>
      </w:tr>
    </w:tbl>
    <w:p w14:paraId="2FCE2393">
      <w:pPr>
        <w:rPr>
          <w:b/>
        </w:rPr>
      </w:pP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1414"/>
        <w:gridCol w:w="1334"/>
        <w:gridCol w:w="1200"/>
        <w:gridCol w:w="1200"/>
        <w:gridCol w:w="1320"/>
        <w:gridCol w:w="1080"/>
        <w:gridCol w:w="1099"/>
        <w:gridCol w:w="1077"/>
        <w:gridCol w:w="885"/>
        <w:gridCol w:w="885"/>
      </w:tblGrid>
      <w:tr w14:paraId="181D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9" w:type="dxa"/>
            <w:gridSpan w:val="11"/>
          </w:tcPr>
          <w:p w14:paraId="1116DCE6">
            <w:pPr>
              <w:jc w:val="center"/>
              <w:rPr>
                <w:b/>
                <w:vertAlign w:val="baseline"/>
              </w:rPr>
            </w:pPr>
            <w:r>
              <w:rPr>
                <w:rFonts w:hint="default"/>
                <w:b/>
                <w:lang w:val="pt-BR"/>
              </w:rPr>
              <w:t xml:space="preserve">Dados / </w:t>
            </w:r>
            <w:r>
              <w:rPr>
                <w:b/>
              </w:rPr>
              <w:t>Indicador</w:t>
            </w:r>
            <w:r>
              <w:rPr>
                <w:rFonts w:hint="default"/>
                <w:b/>
                <w:lang w:val="pt-BR"/>
              </w:rPr>
              <w:t>ores: Indicador 3 B</w:t>
            </w:r>
          </w:p>
        </w:tc>
      </w:tr>
      <w:tr w14:paraId="60B3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35" w:type="dxa"/>
            <w:tcBorders>
              <w:top w:val="outset" w:color="auto" w:sz="6" w:space="0"/>
              <w:left w:val="outset" w:color="auto" w:sz="6" w:space="0"/>
              <w:bottom w:val="outset" w:color="auto" w:sz="6" w:space="0"/>
              <w:right w:val="outset" w:color="auto" w:sz="6" w:space="0"/>
            </w:tcBorders>
          </w:tcPr>
          <w:p w14:paraId="43AD738A">
            <w:pPr>
              <w:spacing w:after="160" w:line="259" w:lineRule="auto"/>
              <w:rPr>
                <w:rFonts w:hint="default"/>
                <w:b/>
                <w:bCs/>
                <w:lang w:val="pt-BR"/>
              </w:rPr>
            </w:pPr>
            <w:r>
              <w:rPr>
                <w:rFonts w:hint="default"/>
                <w:b/>
                <w:bCs/>
                <w:lang w:val="pt-BR"/>
              </w:rPr>
              <w:t>Ano</w:t>
            </w:r>
          </w:p>
        </w:tc>
        <w:tc>
          <w:tcPr>
            <w:tcW w:w="1414" w:type="dxa"/>
            <w:tcBorders>
              <w:top w:val="outset" w:color="auto" w:sz="6" w:space="0"/>
              <w:left w:val="outset" w:color="auto" w:sz="6" w:space="0"/>
              <w:bottom w:val="outset" w:color="auto" w:sz="6" w:space="0"/>
              <w:right w:val="outset" w:color="auto" w:sz="6" w:space="0"/>
            </w:tcBorders>
          </w:tcPr>
          <w:p w14:paraId="2E52C477">
            <w:pPr>
              <w:spacing w:after="160" w:line="259" w:lineRule="auto"/>
              <w:rPr>
                <w:b/>
                <w:bCs/>
              </w:rPr>
            </w:pPr>
            <w:r>
              <w:rPr>
                <w:b/>
                <w:bCs/>
              </w:rPr>
              <w:t>2014</w:t>
            </w:r>
          </w:p>
        </w:tc>
        <w:tc>
          <w:tcPr>
            <w:tcW w:w="1334" w:type="dxa"/>
            <w:tcBorders>
              <w:top w:val="outset" w:color="auto" w:sz="6" w:space="0"/>
              <w:left w:val="outset" w:color="auto" w:sz="6" w:space="0"/>
              <w:bottom w:val="outset" w:color="auto" w:sz="6" w:space="0"/>
              <w:right w:val="outset" w:color="auto" w:sz="6" w:space="0"/>
            </w:tcBorders>
          </w:tcPr>
          <w:p w14:paraId="6CAB76B2">
            <w:pPr>
              <w:spacing w:after="160" w:line="259" w:lineRule="auto"/>
              <w:rPr>
                <w:b/>
                <w:bCs/>
              </w:rPr>
            </w:pPr>
            <w:r>
              <w:rPr>
                <w:b/>
                <w:bCs/>
              </w:rPr>
              <w:t>2015</w:t>
            </w:r>
          </w:p>
        </w:tc>
        <w:tc>
          <w:tcPr>
            <w:tcW w:w="1200" w:type="dxa"/>
            <w:tcBorders>
              <w:top w:val="outset" w:color="auto" w:sz="6" w:space="0"/>
              <w:left w:val="outset" w:color="auto" w:sz="6" w:space="0"/>
              <w:bottom w:val="outset" w:color="auto" w:sz="6" w:space="0"/>
              <w:right w:val="outset" w:color="auto" w:sz="6" w:space="0"/>
            </w:tcBorders>
          </w:tcPr>
          <w:p w14:paraId="5D9CEAAB">
            <w:pPr>
              <w:spacing w:after="160" w:line="259" w:lineRule="auto"/>
              <w:rPr>
                <w:b/>
                <w:bCs/>
              </w:rPr>
            </w:pPr>
            <w:r>
              <w:rPr>
                <w:b/>
                <w:bCs/>
              </w:rPr>
              <w:t>2016</w:t>
            </w:r>
          </w:p>
        </w:tc>
        <w:tc>
          <w:tcPr>
            <w:tcW w:w="1200" w:type="dxa"/>
            <w:tcBorders>
              <w:top w:val="outset" w:color="auto" w:sz="6" w:space="0"/>
              <w:left w:val="outset" w:color="auto" w:sz="6" w:space="0"/>
              <w:bottom w:val="outset" w:color="auto" w:sz="6" w:space="0"/>
              <w:right w:val="outset" w:color="auto" w:sz="6" w:space="0"/>
            </w:tcBorders>
          </w:tcPr>
          <w:p w14:paraId="00DCCA1C">
            <w:pPr>
              <w:spacing w:after="160" w:line="259" w:lineRule="auto"/>
              <w:rPr>
                <w:b/>
                <w:bCs/>
              </w:rPr>
            </w:pPr>
            <w:r>
              <w:rPr>
                <w:b/>
                <w:bCs/>
              </w:rPr>
              <w:t>2017</w:t>
            </w:r>
          </w:p>
        </w:tc>
        <w:tc>
          <w:tcPr>
            <w:tcW w:w="1320" w:type="dxa"/>
            <w:tcBorders>
              <w:top w:val="outset" w:color="auto" w:sz="6" w:space="0"/>
              <w:left w:val="outset" w:color="auto" w:sz="6" w:space="0"/>
              <w:bottom w:val="outset" w:color="auto" w:sz="6" w:space="0"/>
              <w:right w:val="outset" w:color="auto" w:sz="6" w:space="0"/>
            </w:tcBorders>
          </w:tcPr>
          <w:p w14:paraId="6834DE5B">
            <w:pPr>
              <w:spacing w:after="160" w:line="259" w:lineRule="auto"/>
              <w:rPr>
                <w:b/>
                <w:bCs/>
              </w:rPr>
            </w:pPr>
            <w:r>
              <w:rPr>
                <w:b/>
                <w:bCs/>
              </w:rPr>
              <w:t>2018</w:t>
            </w:r>
          </w:p>
        </w:tc>
        <w:tc>
          <w:tcPr>
            <w:tcW w:w="1080" w:type="dxa"/>
            <w:tcBorders>
              <w:top w:val="outset" w:color="auto" w:sz="6" w:space="0"/>
              <w:left w:val="outset" w:color="auto" w:sz="6" w:space="0"/>
              <w:bottom w:val="outset" w:color="auto" w:sz="6" w:space="0"/>
              <w:right w:val="outset" w:color="auto" w:sz="6" w:space="0"/>
            </w:tcBorders>
          </w:tcPr>
          <w:p w14:paraId="5279DD64">
            <w:pPr>
              <w:spacing w:after="160" w:line="259" w:lineRule="auto"/>
              <w:rPr>
                <w:b/>
                <w:bCs/>
              </w:rPr>
            </w:pPr>
            <w:r>
              <w:rPr>
                <w:b/>
                <w:bCs/>
              </w:rPr>
              <w:t>2019</w:t>
            </w:r>
          </w:p>
        </w:tc>
        <w:tc>
          <w:tcPr>
            <w:tcW w:w="1099" w:type="dxa"/>
            <w:tcBorders>
              <w:top w:val="outset" w:color="auto" w:sz="6" w:space="0"/>
              <w:left w:val="outset" w:color="auto" w:sz="6" w:space="0"/>
              <w:bottom w:val="outset" w:color="auto" w:sz="6" w:space="0"/>
              <w:right w:val="outset" w:color="auto" w:sz="6" w:space="0"/>
            </w:tcBorders>
          </w:tcPr>
          <w:p w14:paraId="18871C85">
            <w:pPr>
              <w:spacing w:after="160" w:line="259" w:lineRule="auto"/>
              <w:rPr>
                <w:b/>
                <w:bCs/>
              </w:rPr>
            </w:pPr>
            <w:r>
              <w:rPr>
                <w:b/>
                <w:bCs/>
              </w:rPr>
              <w:t>2020</w:t>
            </w:r>
          </w:p>
        </w:tc>
        <w:tc>
          <w:tcPr>
            <w:tcW w:w="1077" w:type="dxa"/>
            <w:tcBorders>
              <w:top w:val="outset" w:color="auto" w:sz="6" w:space="0"/>
              <w:left w:val="outset" w:color="auto" w:sz="6" w:space="0"/>
              <w:bottom w:val="outset" w:color="auto" w:sz="6" w:space="0"/>
              <w:right w:val="outset" w:color="auto" w:sz="6" w:space="0"/>
            </w:tcBorders>
          </w:tcPr>
          <w:p w14:paraId="0FF52A54">
            <w:pPr>
              <w:spacing w:after="160" w:line="259" w:lineRule="auto"/>
              <w:rPr>
                <w:b/>
                <w:bCs/>
              </w:rPr>
            </w:pPr>
            <w:r>
              <w:rPr>
                <w:b/>
                <w:bCs/>
              </w:rPr>
              <w:t>2021</w:t>
            </w:r>
          </w:p>
        </w:tc>
        <w:tc>
          <w:tcPr>
            <w:tcW w:w="885" w:type="dxa"/>
            <w:tcBorders>
              <w:top w:val="outset" w:color="auto" w:sz="6" w:space="0"/>
              <w:left w:val="outset" w:color="auto" w:sz="6" w:space="0"/>
              <w:bottom w:val="outset" w:color="auto" w:sz="6" w:space="0"/>
              <w:right w:val="outset" w:color="auto" w:sz="6" w:space="0"/>
            </w:tcBorders>
          </w:tcPr>
          <w:p w14:paraId="40EF919D">
            <w:pPr>
              <w:spacing w:after="160" w:line="259" w:lineRule="auto"/>
              <w:rPr>
                <w:b/>
                <w:bCs/>
              </w:rPr>
            </w:pPr>
            <w:r>
              <w:rPr>
                <w:b/>
                <w:bCs/>
              </w:rPr>
              <w:t>2022</w:t>
            </w:r>
          </w:p>
        </w:tc>
        <w:tc>
          <w:tcPr>
            <w:tcW w:w="885" w:type="dxa"/>
            <w:tcBorders>
              <w:top w:val="outset" w:color="auto" w:sz="6" w:space="0"/>
              <w:left w:val="outset" w:color="auto" w:sz="6" w:space="0"/>
              <w:bottom w:val="outset" w:color="auto" w:sz="6" w:space="0"/>
              <w:right w:val="outset" w:color="auto" w:sz="6" w:space="0"/>
            </w:tcBorders>
          </w:tcPr>
          <w:p w14:paraId="7AAAD181">
            <w:pPr>
              <w:spacing w:after="160" w:line="259" w:lineRule="auto"/>
              <w:rPr>
                <w:rFonts w:hint="default"/>
                <w:b/>
                <w:bCs/>
                <w:lang w:val="pt-BR"/>
              </w:rPr>
            </w:pPr>
            <w:r>
              <w:rPr>
                <w:rFonts w:hint="default"/>
                <w:b/>
                <w:bCs/>
                <w:lang w:val="pt-BR"/>
              </w:rPr>
              <w:t>2023</w:t>
            </w:r>
          </w:p>
        </w:tc>
      </w:tr>
      <w:tr w14:paraId="62DB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35" w:type="dxa"/>
            <w:tcBorders>
              <w:top w:val="nil"/>
              <w:left w:val="outset" w:color="auto" w:sz="6" w:space="0"/>
              <w:bottom w:val="outset" w:color="auto" w:sz="6" w:space="0"/>
              <w:right w:val="outset" w:color="auto" w:sz="6" w:space="0"/>
            </w:tcBorders>
          </w:tcPr>
          <w:p w14:paraId="053567FA">
            <w:pPr>
              <w:spacing w:after="160" w:line="259" w:lineRule="auto"/>
              <w:rPr>
                <w:rFonts w:hint="default"/>
                <w:lang w:val="pt-BR"/>
              </w:rPr>
            </w:pPr>
            <w:r>
              <w:rPr>
                <w:rFonts w:hint="default"/>
                <w:lang w:val="pt-BR"/>
              </w:rPr>
              <w:t xml:space="preserve">Indicador </w:t>
            </w:r>
          </w:p>
        </w:tc>
        <w:tc>
          <w:tcPr>
            <w:tcW w:w="1414" w:type="dxa"/>
            <w:tcBorders>
              <w:top w:val="nil"/>
              <w:left w:val="outset" w:color="auto" w:sz="6" w:space="0"/>
              <w:bottom w:val="outset" w:color="auto" w:sz="6" w:space="0"/>
              <w:right w:val="outset" w:color="auto" w:sz="6" w:space="0"/>
            </w:tcBorders>
          </w:tcPr>
          <w:p w14:paraId="543E15F9">
            <w:pPr>
              <w:spacing w:after="160" w:line="259" w:lineRule="auto"/>
              <w:rPr>
                <w:rFonts w:hint="default"/>
                <w:lang w:val="pt-BR"/>
              </w:rPr>
            </w:pPr>
            <w:r>
              <w:rPr>
                <w:rFonts w:hint="default"/>
                <w:lang w:val="pt-BR"/>
              </w:rPr>
              <w:t>63,0%</w:t>
            </w:r>
          </w:p>
        </w:tc>
        <w:tc>
          <w:tcPr>
            <w:tcW w:w="1334" w:type="dxa"/>
            <w:tcBorders>
              <w:top w:val="nil"/>
              <w:left w:val="outset" w:color="auto" w:sz="6" w:space="0"/>
              <w:bottom w:val="outset" w:color="auto" w:sz="6" w:space="0"/>
              <w:right w:val="outset" w:color="auto" w:sz="6" w:space="0"/>
            </w:tcBorders>
          </w:tcPr>
          <w:p w14:paraId="5AB7C997">
            <w:pPr>
              <w:spacing w:after="160" w:line="259" w:lineRule="auto"/>
            </w:pPr>
            <w:r>
              <w:rPr>
                <w:rFonts w:hint="default"/>
                <w:lang w:val="pt-BR"/>
              </w:rPr>
              <w:t>71,0</w:t>
            </w:r>
            <w:r>
              <w:t>%</w:t>
            </w:r>
          </w:p>
        </w:tc>
        <w:tc>
          <w:tcPr>
            <w:tcW w:w="1200" w:type="dxa"/>
            <w:tcBorders>
              <w:top w:val="nil"/>
              <w:left w:val="outset" w:color="auto" w:sz="6" w:space="0"/>
              <w:bottom w:val="outset" w:color="auto" w:sz="6" w:space="0"/>
              <w:right w:val="outset" w:color="auto" w:sz="6" w:space="0"/>
            </w:tcBorders>
          </w:tcPr>
          <w:p w14:paraId="2566D207">
            <w:pPr>
              <w:spacing w:after="160" w:line="259" w:lineRule="auto"/>
            </w:pPr>
            <w:r>
              <w:rPr>
                <w:rFonts w:hint="default"/>
                <w:lang w:val="pt-BR"/>
              </w:rPr>
              <w:t>69,9</w:t>
            </w:r>
            <w:r>
              <w:t>%</w:t>
            </w:r>
          </w:p>
        </w:tc>
        <w:tc>
          <w:tcPr>
            <w:tcW w:w="1200" w:type="dxa"/>
            <w:tcBorders>
              <w:top w:val="nil"/>
              <w:left w:val="outset" w:color="auto" w:sz="6" w:space="0"/>
              <w:bottom w:val="outset" w:color="auto" w:sz="6" w:space="0"/>
              <w:right w:val="outset" w:color="auto" w:sz="6" w:space="0"/>
            </w:tcBorders>
          </w:tcPr>
          <w:p w14:paraId="6B60B213">
            <w:pPr>
              <w:spacing w:after="160" w:line="259" w:lineRule="auto"/>
            </w:pPr>
            <w:r>
              <w:rPr>
                <w:rFonts w:hint="default"/>
                <w:lang w:val="pt-BR"/>
              </w:rPr>
              <w:t>65,6</w:t>
            </w:r>
            <w:r>
              <w:t>%</w:t>
            </w:r>
          </w:p>
        </w:tc>
        <w:tc>
          <w:tcPr>
            <w:tcW w:w="1320" w:type="dxa"/>
            <w:tcBorders>
              <w:top w:val="nil"/>
              <w:left w:val="outset" w:color="auto" w:sz="6" w:space="0"/>
              <w:bottom w:val="outset" w:color="auto" w:sz="6" w:space="0"/>
              <w:right w:val="outset" w:color="auto" w:sz="6" w:space="0"/>
            </w:tcBorders>
          </w:tcPr>
          <w:p w14:paraId="259C08AA">
            <w:pPr>
              <w:spacing w:after="160" w:line="259" w:lineRule="auto"/>
            </w:pPr>
            <w:r>
              <w:rPr>
                <w:rFonts w:hint="default"/>
                <w:lang w:val="pt-BR"/>
              </w:rPr>
              <w:t>68,4</w:t>
            </w:r>
            <w:r>
              <w:t>%</w:t>
            </w:r>
          </w:p>
        </w:tc>
        <w:tc>
          <w:tcPr>
            <w:tcW w:w="1080" w:type="dxa"/>
            <w:tcBorders>
              <w:top w:val="nil"/>
              <w:left w:val="outset" w:color="auto" w:sz="6" w:space="0"/>
              <w:bottom w:val="outset" w:color="auto" w:sz="6" w:space="0"/>
              <w:right w:val="outset" w:color="auto" w:sz="6" w:space="0"/>
            </w:tcBorders>
          </w:tcPr>
          <w:p w14:paraId="66B67BAD">
            <w:pPr>
              <w:spacing w:after="160" w:line="259" w:lineRule="auto"/>
            </w:pPr>
            <w:r>
              <w:rPr>
                <w:rFonts w:hint="default"/>
                <w:lang w:val="pt-BR"/>
              </w:rPr>
              <w:t>69,6</w:t>
            </w:r>
            <w:r>
              <w:t>%</w:t>
            </w:r>
          </w:p>
        </w:tc>
        <w:tc>
          <w:tcPr>
            <w:tcW w:w="1099" w:type="dxa"/>
            <w:tcBorders>
              <w:top w:val="nil"/>
              <w:left w:val="outset" w:color="auto" w:sz="6" w:space="0"/>
              <w:bottom w:val="outset" w:color="auto" w:sz="6" w:space="0"/>
              <w:right w:val="outset" w:color="auto" w:sz="6" w:space="0"/>
            </w:tcBorders>
          </w:tcPr>
          <w:p w14:paraId="225B67D6">
            <w:pPr>
              <w:spacing w:after="160" w:line="259" w:lineRule="auto"/>
            </w:pPr>
            <w:r>
              <w:rPr>
                <w:rFonts w:hint="default"/>
                <w:lang w:val="pt-BR"/>
              </w:rPr>
              <w:t>92,8</w:t>
            </w:r>
            <w:r>
              <w:t>%</w:t>
            </w:r>
          </w:p>
        </w:tc>
        <w:tc>
          <w:tcPr>
            <w:tcW w:w="1077" w:type="dxa"/>
            <w:tcBorders>
              <w:top w:val="nil"/>
              <w:left w:val="outset" w:color="auto" w:sz="6" w:space="0"/>
              <w:bottom w:val="outset" w:color="auto" w:sz="6" w:space="0"/>
              <w:right w:val="outset" w:color="auto" w:sz="6" w:space="0"/>
            </w:tcBorders>
          </w:tcPr>
          <w:p w14:paraId="19AAC28E">
            <w:pPr>
              <w:spacing w:after="160" w:line="259" w:lineRule="auto"/>
            </w:pPr>
            <w:r>
              <w:rPr>
                <w:rFonts w:hint="default"/>
                <w:lang w:val="pt-BR"/>
              </w:rPr>
              <w:t>100,1</w:t>
            </w:r>
            <w:r>
              <w:t>%</w:t>
            </w:r>
          </w:p>
        </w:tc>
        <w:tc>
          <w:tcPr>
            <w:tcW w:w="885" w:type="dxa"/>
            <w:tcBorders>
              <w:top w:val="nil"/>
              <w:left w:val="outset" w:color="auto" w:sz="6" w:space="0"/>
              <w:bottom w:val="outset" w:color="auto" w:sz="6" w:space="0"/>
              <w:right w:val="outset" w:color="auto" w:sz="6" w:space="0"/>
            </w:tcBorders>
          </w:tcPr>
          <w:p w14:paraId="44095711">
            <w:pPr>
              <w:spacing w:after="160" w:line="259" w:lineRule="auto"/>
            </w:pPr>
            <w:r>
              <w:rPr>
                <w:rFonts w:hint="default"/>
                <w:lang w:val="pt-BR"/>
              </w:rPr>
              <w:t>105,4</w:t>
            </w:r>
            <w:r>
              <w:t>%</w:t>
            </w:r>
          </w:p>
        </w:tc>
        <w:tc>
          <w:tcPr>
            <w:tcW w:w="885" w:type="dxa"/>
            <w:tcBorders>
              <w:top w:val="nil"/>
              <w:left w:val="outset" w:color="auto" w:sz="6" w:space="0"/>
              <w:bottom w:val="outset" w:color="auto" w:sz="6" w:space="0"/>
              <w:right w:val="outset" w:color="auto" w:sz="6" w:space="0"/>
            </w:tcBorders>
          </w:tcPr>
          <w:p w14:paraId="719B9C30">
            <w:pPr>
              <w:spacing w:after="160" w:line="259" w:lineRule="auto"/>
              <w:rPr>
                <w:rFonts w:hint="default"/>
                <w:lang w:val="pt-BR"/>
              </w:rPr>
            </w:pPr>
            <w:r>
              <w:rPr>
                <w:rFonts w:hint="default"/>
                <w:lang w:val="pt-BR"/>
              </w:rPr>
              <w:t>*</w:t>
            </w:r>
          </w:p>
        </w:tc>
      </w:tr>
      <w:tr w14:paraId="3CAE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9" w:type="dxa"/>
            <w:gridSpan w:val="11"/>
          </w:tcPr>
          <w:p w14:paraId="5F16741D">
            <w:pPr>
              <w:jc w:val="center"/>
              <w:rPr>
                <w:rFonts w:hint="default"/>
                <w:vertAlign w:val="baseline"/>
                <w:lang w:val="pt-BR"/>
              </w:rPr>
            </w:pPr>
            <w:r>
              <w:rPr>
                <w:rFonts w:hint="default"/>
                <w:vertAlign w:val="baseline"/>
                <w:lang w:val="pt-BR"/>
              </w:rPr>
              <w:t>Fonte: IPARDES - Projeção dos município do Paraná - Revisão 2018 (Tabulação Especiais PNE)</w:t>
            </w:r>
          </w:p>
        </w:tc>
      </w:tr>
      <w:tr w14:paraId="76FB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9" w:type="dxa"/>
            <w:gridSpan w:val="11"/>
          </w:tcPr>
          <w:p w14:paraId="132DF5D6">
            <w:pPr>
              <w:jc w:val="center"/>
              <w:rPr>
                <w:vertAlign w:val="baseline"/>
              </w:rPr>
            </w:pPr>
            <w:r>
              <w:t>Fonte: INEP - Censo Escolar Educação Básica</w:t>
            </w:r>
          </w:p>
        </w:tc>
      </w:tr>
    </w:tbl>
    <w:p w14:paraId="4DB45A8B"/>
    <w:p w14:paraId="20859CA8">
      <w:pPr>
        <w:spacing w:line="360" w:lineRule="auto"/>
        <w:ind w:firstLine="708" w:firstLineChars="0"/>
        <w:jc w:val="both"/>
      </w:pPr>
      <w:r>
        <w:t>Conforme dados apresentados pela fonte: IPARDES e INEP a Meta 03, mostra que, a universalização do atendimento e elevação da taxa líquida de matrículas no ensino médio, ainda, exige maior atenção para que até o final da vigência do plano possa atingir completamente a demanda da população de 15 (quinze) a 17 (dezessete) anos na Escola. Mesmo sendo cumpridas praticamente todas as metas estipuladas no plano.</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9"/>
        <w:gridCol w:w="7471"/>
        <w:gridCol w:w="46"/>
      </w:tblGrid>
      <w:tr w14:paraId="666A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72D96334">
            <w:pPr>
              <w:pStyle w:val="16"/>
              <w:numPr>
                <w:ilvl w:val="0"/>
                <w:numId w:val="0"/>
              </w:numPr>
              <w:jc w:val="center"/>
              <w:rPr>
                <w:rFonts w:hint="default"/>
                <w:b/>
                <w:vertAlign w:val="baseline"/>
                <w:lang w:val="pt-BR"/>
              </w:rPr>
            </w:pPr>
            <w:r>
              <w:rPr>
                <w:rFonts w:hint="default"/>
                <w:b/>
                <w:vertAlign w:val="baseline"/>
                <w:lang w:val="pt-BR"/>
              </w:rPr>
              <w:t>Ficha metodológica para o indicador 4A - base PNE</w:t>
            </w:r>
          </w:p>
        </w:tc>
      </w:tr>
      <w:tr w14:paraId="0B0C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46" w:type="dxa"/>
        </w:trPr>
        <w:tc>
          <w:tcPr>
            <w:tcW w:w="5519" w:type="dxa"/>
            <w:tcBorders>
              <w:top w:val="outset" w:color="auto" w:sz="6" w:space="0"/>
              <w:left w:val="outset" w:color="auto" w:sz="6" w:space="0"/>
              <w:bottom w:val="outset" w:color="auto" w:sz="6" w:space="0"/>
              <w:right w:val="outset" w:color="auto" w:sz="6" w:space="0"/>
            </w:tcBorders>
          </w:tcPr>
          <w:p w14:paraId="467D63FD">
            <w:pPr>
              <w:spacing w:after="160" w:line="259" w:lineRule="auto"/>
              <w:rPr>
                <w:b/>
              </w:rPr>
            </w:pPr>
            <w:r>
              <w:t xml:space="preserve">  </w:t>
            </w:r>
            <w:r>
              <w:rPr>
                <w:b/>
              </w:rPr>
              <w:t>Meta</w:t>
            </w:r>
          </w:p>
        </w:tc>
        <w:tc>
          <w:tcPr>
            <w:tcW w:w="7471" w:type="dxa"/>
            <w:tcBorders>
              <w:top w:val="outset" w:color="auto" w:sz="6" w:space="0"/>
              <w:left w:val="outset" w:color="auto" w:sz="6" w:space="0"/>
              <w:bottom w:val="outset" w:color="auto" w:sz="6" w:space="0"/>
              <w:right w:val="outset" w:color="auto" w:sz="6" w:space="0"/>
            </w:tcBorders>
          </w:tcPr>
          <w:p w14:paraId="48E33BE9">
            <w:pPr>
              <w:spacing w:after="160" w:line="259" w:lineRule="auto"/>
              <w:rPr>
                <w:b/>
              </w:rPr>
            </w:pPr>
            <w:r>
              <w:rPr>
                <w:b/>
              </w:rPr>
              <w:t>Texto da meta</w:t>
            </w:r>
          </w:p>
        </w:tc>
      </w:tr>
      <w:tr w14:paraId="47C9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46" w:type="dxa"/>
        </w:trPr>
        <w:tc>
          <w:tcPr>
            <w:tcW w:w="5519" w:type="dxa"/>
            <w:tcBorders>
              <w:top w:val="nil"/>
              <w:left w:val="outset" w:color="auto" w:sz="6" w:space="0"/>
              <w:bottom w:val="outset" w:color="auto" w:sz="6" w:space="0"/>
              <w:right w:val="outset" w:color="auto" w:sz="6" w:space="0"/>
            </w:tcBorders>
          </w:tcPr>
          <w:p w14:paraId="3E317BC8">
            <w:pPr>
              <w:spacing w:after="160" w:line="259" w:lineRule="auto"/>
            </w:pPr>
            <w:r>
              <w:t>4</w:t>
            </w:r>
          </w:p>
          <w:p w14:paraId="00567A7C">
            <w:pPr>
              <w:spacing w:after="160" w:line="259" w:lineRule="auto"/>
            </w:pPr>
          </w:p>
          <w:p w14:paraId="0EC82578">
            <w:pPr>
              <w:spacing w:after="160" w:line="259" w:lineRule="auto"/>
            </w:pPr>
          </w:p>
          <w:p w14:paraId="50B267C2">
            <w:pPr>
              <w:spacing w:after="160" w:line="259" w:lineRule="auto"/>
            </w:pPr>
          </w:p>
        </w:tc>
        <w:tc>
          <w:tcPr>
            <w:tcW w:w="7471" w:type="dxa"/>
            <w:tcBorders>
              <w:top w:val="nil"/>
              <w:left w:val="outset" w:color="auto" w:sz="6" w:space="0"/>
              <w:bottom w:val="outset" w:color="auto" w:sz="6" w:space="0"/>
              <w:right w:val="outset" w:color="auto" w:sz="6" w:space="0"/>
            </w:tcBorders>
          </w:tcPr>
          <w:p w14:paraId="2A4E7FFF">
            <w:pPr>
              <w:spacing w:after="160" w:line="259" w:lineRule="auto"/>
              <w:jc w:val="both"/>
              <w:rPr>
                <w:rFonts w:hint="default"/>
                <w:i/>
                <w:lang w:val="pt-BR"/>
              </w:rPr>
            </w:pPr>
            <w:r>
              <w:rPr>
                <w:bCs/>
              </w:rPr>
              <w:t>Universalizar, para a população de 4 (quatro) a 17 (dezessete)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w:t>
            </w:r>
            <w:r>
              <w:rPr>
                <w:rFonts w:hint="default"/>
                <w:bCs/>
                <w:lang w:val="pt-BR"/>
              </w:rPr>
              <w:t>.</w:t>
            </w:r>
          </w:p>
        </w:tc>
      </w:tr>
      <w:tr w14:paraId="6C2F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46" w:type="dxa"/>
        </w:trPr>
        <w:tc>
          <w:tcPr>
            <w:tcW w:w="5519" w:type="dxa"/>
            <w:tcBorders>
              <w:top w:val="nil"/>
              <w:left w:val="outset" w:color="auto" w:sz="6" w:space="0"/>
              <w:bottom w:val="outset" w:color="auto" w:sz="6" w:space="0"/>
              <w:right w:val="outset" w:color="auto" w:sz="6" w:space="0"/>
            </w:tcBorders>
          </w:tcPr>
          <w:p w14:paraId="0DD8C86F">
            <w:pPr>
              <w:spacing w:after="160" w:line="259" w:lineRule="auto"/>
              <w:rPr>
                <w:rFonts w:hint="default"/>
                <w:lang w:val="pt-BR"/>
              </w:rPr>
            </w:pPr>
            <w:r>
              <w:rPr>
                <w:rFonts w:hint="default"/>
                <w:lang w:val="pt-BR"/>
              </w:rPr>
              <w:t>Indicador 4 A Nacional</w:t>
            </w:r>
          </w:p>
        </w:tc>
        <w:tc>
          <w:tcPr>
            <w:tcW w:w="7471" w:type="dxa"/>
            <w:tcBorders>
              <w:top w:val="nil"/>
              <w:left w:val="outset" w:color="auto" w:sz="6" w:space="0"/>
              <w:bottom w:val="outset" w:color="auto" w:sz="6" w:space="0"/>
              <w:right w:val="outset" w:color="auto" w:sz="6" w:space="0"/>
            </w:tcBorders>
          </w:tcPr>
          <w:p w14:paraId="78F269DE">
            <w:pPr>
              <w:spacing w:after="160" w:line="259" w:lineRule="auto"/>
              <w:jc w:val="both"/>
              <w:rPr>
                <w:rFonts w:hint="default"/>
                <w:bCs/>
                <w:lang w:val="pt-BR"/>
              </w:rPr>
            </w:pPr>
            <w:r>
              <w:rPr>
                <w:rFonts w:hint="default"/>
                <w:bCs/>
                <w:lang w:val="pt-BR"/>
              </w:rPr>
              <w:t>Percentual da população de 4 a 17 anos de idade com deficiência que frequente a escola.</w:t>
            </w:r>
          </w:p>
        </w:tc>
      </w:tr>
      <w:tr w14:paraId="7E2B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tcBorders>
              <w:top w:val="outset" w:color="auto" w:sz="6" w:space="0"/>
              <w:left w:val="outset" w:color="auto" w:sz="6" w:space="0"/>
              <w:bottom w:val="outset" w:color="auto" w:sz="6" w:space="0"/>
              <w:right w:val="outset" w:color="auto" w:sz="6" w:space="0"/>
            </w:tcBorders>
          </w:tcPr>
          <w:p w14:paraId="153B86B4">
            <w:pPr>
              <w:rPr>
                <w:rFonts w:hint="default"/>
                <w:lang w:val="pt-BR"/>
              </w:rPr>
            </w:pPr>
            <w:r>
              <w:rPr>
                <w:b/>
              </w:rPr>
              <w:t xml:space="preserve"> </w:t>
            </w:r>
            <w:r>
              <w:t xml:space="preserve">Indicador </w:t>
            </w:r>
            <w:r>
              <w:rPr>
                <w:rFonts w:hint="default"/>
                <w:lang w:val="pt-BR"/>
              </w:rPr>
              <w:t>4 A Proposto</w:t>
            </w:r>
          </w:p>
        </w:tc>
        <w:tc>
          <w:tcPr>
            <w:tcW w:w="7517" w:type="dxa"/>
            <w:gridSpan w:val="2"/>
            <w:tcBorders>
              <w:top w:val="outset" w:color="auto" w:sz="6" w:space="0"/>
              <w:left w:val="outset" w:color="auto" w:sz="6" w:space="0"/>
              <w:bottom w:val="outset" w:color="auto" w:sz="6" w:space="0"/>
              <w:right w:val="outset" w:color="auto" w:sz="6" w:space="0"/>
            </w:tcBorders>
          </w:tcPr>
          <w:p w14:paraId="1540D6C4">
            <w:pPr>
              <w:spacing w:after="160" w:line="259" w:lineRule="auto"/>
              <w:jc w:val="both"/>
            </w:pPr>
            <w:r>
              <w:t>Nenhum</w:t>
            </w:r>
          </w:p>
        </w:tc>
      </w:tr>
      <w:tr w14:paraId="154D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tcBorders>
              <w:top w:val="nil"/>
              <w:left w:val="outset" w:color="auto" w:sz="6" w:space="0"/>
              <w:bottom w:val="outset" w:color="auto" w:sz="6" w:space="0"/>
              <w:right w:val="outset" w:color="auto" w:sz="6" w:space="0"/>
            </w:tcBorders>
          </w:tcPr>
          <w:p w14:paraId="323395BA">
            <w:pPr>
              <w:spacing w:after="160" w:line="259" w:lineRule="auto"/>
            </w:pPr>
            <w:r>
              <w:t>Fórmula de cálculo</w:t>
            </w:r>
          </w:p>
        </w:tc>
        <w:tc>
          <w:tcPr>
            <w:tcW w:w="7517" w:type="dxa"/>
            <w:gridSpan w:val="2"/>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225"/>
              <w:gridCol w:w="7262"/>
            </w:tblGrid>
            <w:tr w14:paraId="3528E616">
              <w:tblPrEx>
                <w:tblCellMar>
                  <w:top w:w="15" w:type="dxa"/>
                  <w:left w:w="15" w:type="dxa"/>
                  <w:bottom w:w="15" w:type="dxa"/>
                  <w:right w:w="15" w:type="dxa"/>
                </w:tblCellMar>
              </w:tblPrEx>
              <w:tc>
                <w:tcPr>
                  <w:tcW w:w="225" w:type="dxa"/>
                  <w:tcBorders>
                    <w:top w:val="nil"/>
                    <w:left w:val="nil"/>
                    <w:bottom w:val="nil"/>
                    <w:right w:val="nil"/>
                  </w:tcBorders>
                </w:tcPr>
                <w:p w14:paraId="28C2C1BA">
                  <w:pPr>
                    <w:jc w:val="both"/>
                  </w:pPr>
                </w:p>
                <w:p w14:paraId="2F3D7D52">
                  <w:pPr>
                    <w:jc w:val="both"/>
                  </w:pPr>
                </w:p>
              </w:tc>
              <w:tc>
                <w:tcPr>
                  <w:tcW w:w="0" w:type="auto"/>
                  <w:tcBorders>
                    <w:top w:val="nil"/>
                    <w:left w:val="nil"/>
                    <w:bottom w:val="nil"/>
                    <w:right w:val="nil"/>
                  </w:tcBorders>
                </w:tcPr>
                <w:p w14:paraId="16CA15C2">
                  <w:pPr>
                    <w:jc w:val="both"/>
                  </w:pPr>
                  <w:r>
                    <w:t>(População de 4 a 17 anos com deficiência que frequenta a escola / População de 4 a 17 anos com deficiência) x 100</w:t>
                  </w:r>
                </w:p>
              </w:tc>
            </w:tr>
          </w:tbl>
          <w:p w14:paraId="1BD92200">
            <w:pPr>
              <w:spacing w:after="160" w:line="259" w:lineRule="auto"/>
              <w:jc w:val="both"/>
            </w:pPr>
          </w:p>
        </w:tc>
      </w:tr>
      <w:tr w14:paraId="4847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tcBorders>
              <w:top w:val="nil"/>
              <w:left w:val="outset" w:color="auto" w:sz="6" w:space="0"/>
              <w:bottom w:val="outset" w:color="auto" w:sz="6" w:space="0"/>
              <w:right w:val="outset" w:color="auto" w:sz="6" w:space="0"/>
            </w:tcBorders>
          </w:tcPr>
          <w:p w14:paraId="16D6D61F">
            <w:pPr>
              <w:spacing w:after="160" w:line="259" w:lineRule="auto"/>
            </w:pPr>
            <w:r>
              <w:t>Justificativa</w:t>
            </w:r>
          </w:p>
        </w:tc>
        <w:tc>
          <w:tcPr>
            <w:tcW w:w="7517" w:type="dxa"/>
            <w:gridSpan w:val="2"/>
            <w:tcBorders>
              <w:top w:val="nil"/>
              <w:left w:val="outset" w:color="auto" w:sz="6" w:space="0"/>
              <w:bottom w:val="outset" w:color="auto" w:sz="6" w:space="0"/>
              <w:right w:val="outset" w:color="auto" w:sz="6" w:space="0"/>
            </w:tcBorders>
          </w:tcPr>
          <w:p w14:paraId="398E0DB1">
            <w:pPr>
              <w:spacing w:after="160" w:line="259" w:lineRule="auto"/>
              <w:jc w:val="both"/>
            </w:pPr>
            <w:r>
              <w:t>Inviável. O relatório de linha de base 2014, primeiro ciclo, utiliza o Censo demográfico como fonte de dados. Contudo, as perguntas e as alternativas de resposta acerca de deficiências foram elaboradas de modo distinto nos Censos Demográficos de 2000 e 2010. Ausência de padronização/definição conceitual, pois as fontes de dados sugeridas (Censo demográfico e escolar) possuem conceitos diferentes de deficiências. O censo demográfico engloba todas as pessoas (matriculadas ou não) e o censo escolar apenas os matriculados. Não temos informações de transtornos globais do desenvolvimento e altas habilidades ou superdotação para as pessoas que estão fora da escola. Impossibilidade de desagregação municipal ano a ano.</w:t>
            </w:r>
          </w:p>
        </w:tc>
      </w:tr>
    </w:tbl>
    <w:p w14:paraId="4DBFE1C3">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9"/>
        <w:gridCol w:w="7517"/>
      </w:tblGrid>
      <w:tr w14:paraId="7CEF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5540A11F">
            <w:pPr>
              <w:pStyle w:val="16"/>
              <w:numPr>
                <w:ilvl w:val="0"/>
                <w:numId w:val="0"/>
              </w:numPr>
              <w:jc w:val="center"/>
              <w:rPr>
                <w:rFonts w:hint="default"/>
                <w:b/>
                <w:vertAlign w:val="baseline"/>
                <w:lang w:val="pt-BR"/>
              </w:rPr>
            </w:pPr>
            <w:r>
              <w:rPr>
                <w:rFonts w:hint="default"/>
                <w:b/>
                <w:vertAlign w:val="baseline"/>
                <w:lang w:val="pt-BR"/>
              </w:rPr>
              <w:t>Ficha metodológica para o indicador 4</w:t>
            </w:r>
            <w:r>
              <w:rPr>
                <w:rFonts w:hint="default"/>
                <w:b/>
                <w:bCs w:val="0"/>
                <w:vertAlign w:val="baseline"/>
                <w:lang w:val="pt-BR"/>
              </w:rPr>
              <w:t xml:space="preserve">B </w:t>
            </w:r>
            <w:r>
              <w:rPr>
                <w:rFonts w:hint="default"/>
                <w:b/>
                <w:vertAlign w:val="baseline"/>
                <w:lang w:val="pt-BR"/>
              </w:rPr>
              <w:t>- base PNE</w:t>
            </w:r>
          </w:p>
        </w:tc>
      </w:tr>
      <w:tr w14:paraId="7CD1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tcBorders>
              <w:top w:val="outset" w:color="auto" w:sz="6" w:space="0"/>
              <w:left w:val="outset" w:color="auto" w:sz="6" w:space="0"/>
              <w:bottom w:val="outset" w:color="auto" w:sz="6" w:space="0"/>
              <w:right w:val="outset" w:color="auto" w:sz="6" w:space="0"/>
            </w:tcBorders>
          </w:tcPr>
          <w:p w14:paraId="1867A12E">
            <w:pPr>
              <w:spacing w:after="160" w:line="259" w:lineRule="auto"/>
              <w:rPr>
                <w:b/>
              </w:rPr>
            </w:pPr>
            <w:r>
              <w:t xml:space="preserve">  </w:t>
            </w:r>
            <w:r>
              <w:rPr>
                <w:b/>
              </w:rPr>
              <w:t>Meta</w:t>
            </w:r>
          </w:p>
        </w:tc>
        <w:tc>
          <w:tcPr>
            <w:tcW w:w="7517" w:type="dxa"/>
            <w:tcBorders>
              <w:top w:val="outset" w:color="auto" w:sz="6" w:space="0"/>
              <w:left w:val="outset" w:color="auto" w:sz="6" w:space="0"/>
              <w:bottom w:val="outset" w:color="auto" w:sz="6" w:space="0"/>
              <w:right w:val="outset" w:color="auto" w:sz="6" w:space="0"/>
            </w:tcBorders>
          </w:tcPr>
          <w:p w14:paraId="1282CC60">
            <w:pPr>
              <w:spacing w:after="160" w:line="259" w:lineRule="auto"/>
              <w:rPr>
                <w:b/>
              </w:rPr>
            </w:pPr>
            <w:r>
              <w:rPr>
                <w:b/>
              </w:rPr>
              <w:t>Texto da meta</w:t>
            </w:r>
          </w:p>
        </w:tc>
      </w:tr>
      <w:tr w14:paraId="37B2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tcBorders>
              <w:top w:val="nil"/>
              <w:left w:val="outset" w:color="auto" w:sz="6" w:space="0"/>
              <w:bottom w:val="outset" w:color="auto" w:sz="6" w:space="0"/>
              <w:right w:val="outset" w:color="auto" w:sz="6" w:space="0"/>
            </w:tcBorders>
          </w:tcPr>
          <w:p w14:paraId="489595D1">
            <w:pPr>
              <w:spacing w:after="160" w:line="259" w:lineRule="auto"/>
            </w:pPr>
            <w:r>
              <w:t>4</w:t>
            </w:r>
          </w:p>
          <w:p w14:paraId="17A0ADF2">
            <w:pPr>
              <w:spacing w:after="160" w:line="259" w:lineRule="auto"/>
            </w:pPr>
          </w:p>
          <w:p w14:paraId="786CD857">
            <w:pPr>
              <w:spacing w:after="160" w:line="259" w:lineRule="auto"/>
            </w:pPr>
          </w:p>
          <w:p w14:paraId="0418F9A0">
            <w:pPr>
              <w:spacing w:after="160" w:line="259" w:lineRule="auto"/>
            </w:pPr>
          </w:p>
        </w:tc>
        <w:tc>
          <w:tcPr>
            <w:tcW w:w="7517" w:type="dxa"/>
            <w:tcBorders>
              <w:top w:val="nil"/>
              <w:left w:val="outset" w:color="auto" w:sz="6" w:space="0"/>
              <w:bottom w:val="outset" w:color="auto" w:sz="6" w:space="0"/>
              <w:right w:val="outset" w:color="auto" w:sz="6" w:space="0"/>
            </w:tcBorders>
          </w:tcPr>
          <w:p w14:paraId="477AFA94">
            <w:pPr>
              <w:spacing w:after="160" w:line="259" w:lineRule="auto"/>
              <w:jc w:val="both"/>
              <w:rPr>
                <w:rFonts w:hint="default"/>
                <w:i/>
                <w:lang w:val="pt-BR"/>
              </w:rPr>
            </w:pPr>
            <w:r>
              <w:rPr>
                <w:bCs/>
              </w:rPr>
              <w:t>Universalizar, para a população de 4 (quatro) a 17 (dezessete)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w:t>
            </w:r>
            <w:r>
              <w:rPr>
                <w:rFonts w:hint="default"/>
                <w:bCs/>
                <w:lang w:val="pt-BR"/>
              </w:rPr>
              <w:t>.</w:t>
            </w:r>
          </w:p>
        </w:tc>
      </w:tr>
      <w:tr w14:paraId="0533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tcBorders>
              <w:top w:val="outset" w:color="auto" w:sz="6" w:space="0"/>
              <w:left w:val="outset" w:color="auto" w:sz="6" w:space="0"/>
              <w:bottom w:val="outset" w:color="auto" w:sz="6" w:space="0"/>
              <w:right w:val="outset" w:color="auto" w:sz="6" w:space="0"/>
            </w:tcBorders>
          </w:tcPr>
          <w:p w14:paraId="55A1FB85">
            <w:pPr>
              <w:spacing w:after="160" w:line="259" w:lineRule="auto"/>
              <w:rPr>
                <w:rFonts w:hint="default"/>
                <w:b w:val="0"/>
                <w:bCs w:val="0"/>
                <w:lang w:val="pt-BR"/>
              </w:rPr>
            </w:pPr>
            <w:r>
              <w:rPr>
                <w:b w:val="0"/>
                <w:bCs w:val="0"/>
              </w:rPr>
              <w:t xml:space="preserve">Indicador </w:t>
            </w:r>
            <w:r>
              <w:rPr>
                <w:rFonts w:hint="default"/>
                <w:b w:val="0"/>
                <w:bCs w:val="0"/>
                <w:lang w:val="pt-BR"/>
              </w:rPr>
              <w:t>4B Nacional</w:t>
            </w:r>
          </w:p>
        </w:tc>
        <w:tc>
          <w:tcPr>
            <w:tcW w:w="7517" w:type="dxa"/>
            <w:tcBorders>
              <w:top w:val="outset" w:color="auto" w:sz="6" w:space="0"/>
              <w:left w:val="outset" w:color="auto" w:sz="6" w:space="0"/>
              <w:bottom w:val="outset" w:color="auto" w:sz="6" w:space="0"/>
              <w:right w:val="outset" w:color="auto" w:sz="6" w:space="0"/>
            </w:tcBorders>
          </w:tcPr>
          <w:p w14:paraId="58C1FD92">
            <w:pPr>
              <w:spacing w:after="160" w:line="259" w:lineRule="auto"/>
              <w:jc w:val="both"/>
              <w:rPr>
                <w:b w:val="0"/>
                <w:bCs w:val="0"/>
              </w:rPr>
            </w:pPr>
            <w:r>
              <w:rPr>
                <w:b w:val="0"/>
                <w:bCs w:val="0"/>
              </w:rPr>
              <w:t xml:space="preserve"> Percentual de alunos de 4 a 17 anos de idade com deficiência, TGD e altas habilidades ou superdotação que estudam em classes comuns da educação básica.</w:t>
            </w:r>
          </w:p>
        </w:tc>
      </w:tr>
      <w:tr w14:paraId="7075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tcBorders>
              <w:top w:val="outset" w:color="auto" w:sz="6" w:space="0"/>
              <w:left w:val="outset" w:color="auto" w:sz="6" w:space="0"/>
              <w:bottom w:val="outset" w:color="auto" w:sz="6" w:space="0"/>
              <w:right w:val="outset" w:color="auto" w:sz="6" w:space="0"/>
            </w:tcBorders>
          </w:tcPr>
          <w:p w14:paraId="126864B2">
            <w:pPr>
              <w:spacing w:after="160" w:line="259" w:lineRule="auto"/>
              <w:rPr>
                <w:rFonts w:hint="default"/>
                <w:b w:val="0"/>
                <w:bCs w:val="0"/>
                <w:lang w:val="pt-BR"/>
              </w:rPr>
            </w:pPr>
            <w:r>
              <w:rPr>
                <w:rFonts w:hint="default"/>
                <w:b w:val="0"/>
                <w:bCs w:val="0"/>
                <w:lang w:val="pt-BR"/>
              </w:rPr>
              <w:t>Indicador 4B Proposto</w:t>
            </w:r>
          </w:p>
        </w:tc>
        <w:tc>
          <w:tcPr>
            <w:tcW w:w="7517" w:type="dxa"/>
            <w:tcBorders>
              <w:top w:val="outset" w:color="auto" w:sz="6" w:space="0"/>
              <w:left w:val="outset" w:color="auto" w:sz="6" w:space="0"/>
              <w:bottom w:val="outset" w:color="auto" w:sz="6" w:space="0"/>
              <w:right w:val="outset" w:color="auto" w:sz="6" w:space="0"/>
            </w:tcBorders>
          </w:tcPr>
          <w:p w14:paraId="33F7C6C2">
            <w:pPr>
              <w:spacing w:after="160" w:line="259" w:lineRule="auto"/>
              <w:jc w:val="both"/>
              <w:rPr>
                <w:rFonts w:hint="default"/>
                <w:b w:val="0"/>
                <w:bCs w:val="0"/>
                <w:lang w:val="pt-BR"/>
              </w:rPr>
            </w:pPr>
            <w:r>
              <w:rPr>
                <w:rFonts w:hint="default"/>
                <w:b w:val="0"/>
                <w:bCs w:val="0"/>
                <w:lang w:val="pt-BR"/>
              </w:rPr>
              <w:t>Replicar Nacional.</w:t>
            </w:r>
          </w:p>
        </w:tc>
      </w:tr>
      <w:tr w14:paraId="4653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tcBorders>
              <w:top w:val="nil"/>
              <w:left w:val="outset" w:color="auto" w:sz="6" w:space="0"/>
              <w:bottom w:val="outset" w:color="auto" w:sz="6" w:space="0"/>
              <w:right w:val="outset" w:color="auto" w:sz="6" w:space="0"/>
            </w:tcBorders>
          </w:tcPr>
          <w:p w14:paraId="463F0606">
            <w:pPr>
              <w:spacing w:after="160" w:line="259" w:lineRule="auto"/>
            </w:pPr>
            <w:r>
              <w:t>Fórmula de cálculo</w:t>
            </w:r>
          </w:p>
        </w:tc>
        <w:tc>
          <w:tcPr>
            <w:tcW w:w="7517" w:type="dxa"/>
            <w:tcBorders>
              <w:top w:val="nil"/>
              <w:left w:val="outset" w:color="auto" w:sz="6" w:space="0"/>
              <w:bottom w:val="outset" w:color="auto" w:sz="6" w:space="0"/>
              <w:right w:val="outset" w:color="auto" w:sz="6" w:space="0"/>
            </w:tcBorders>
          </w:tcPr>
          <w:p w14:paraId="4EFF6B38">
            <w:pPr>
              <w:spacing w:after="160" w:line="259" w:lineRule="auto"/>
              <w:jc w:val="both"/>
            </w:pPr>
            <w:r>
              <w:t>(Matrículas em classes comuns da educação básica de alunos de 4 a 17 anos de idade com deficiência, transtornos globais do desenvolvimento e altas habilidades superdotação / Total de matrículas na educação básica de alunos de 4 a 17 anos de idade com deficiência, transtornos globais do desenvolvimento e altas habilidades superdotação) x 100</w:t>
            </w:r>
          </w:p>
        </w:tc>
      </w:tr>
      <w:tr w14:paraId="2A88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tcBorders>
              <w:top w:val="nil"/>
              <w:left w:val="outset" w:color="auto" w:sz="6" w:space="0"/>
              <w:bottom w:val="outset" w:color="auto" w:sz="6" w:space="0"/>
              <w:right w:val="outset" w:color="auto" w:sz="6" w:space="0"/>
            </w:tcBorders>
          </w:tcPr>
          <w:p w14:paraId="23C3F916">
            <w:pPr>
              <w:spacing w:after="160" w:line="259" w:lineRule="auto"/>
            </w:pPr>
            <w:r>
              <w:t>Comentário</w:t>
            </w:r>
          </w:p>
          <w:p w14:paraId="762FAE3E">
            <w:pPr>
              <w:spacing w:after="160" w:line="259" w:lineRule="auto"/>
            </w:pPr>
          </w:p>
        </w:tc>
        <w:tc>
          <w:tcPr>
            <w:tcW w:w="7517"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7487"/>
            </w:tblGrid>
            <w:tr w14:paraId="0BFCFBA8">
              <w:tblPrEx>
                <w:tblCellMar>
                  <w:top w:w="15" w:type="dxa"/>
                  <w:left w:w="15" w:type="dxa"/>
                  <w:bottom w:w="15" w:type="dxa"/>
                  <w:right w:w="15" w:type="dxa"/>
                </w:tblCellMar>
              </w:tblPrEx>
              <w:tc>
                <w:tcPr>
                  <w:tcW w:w="0" w:type="auto"/>
                  <w:tcBorders>
                    <w:top w:val="nil"/>
                    <w:left w:val="nil"/>
                    <w:bottom w:val="nil"/>
                    <w:right w:val="nil"/>
                  </w:tcBorders>
                </w:tcPr>
                <w:p w14:paraId="485AE15B">
                  <w:pPr>
                    <w:jc w:val="both"/>
                  </w:pPr>
                  <w:r>
                    <w:t>Calculado conforme Relatório do 3º Ciclo de Monitoramento das Metas do Plano Nacional de Educação - 2020 (INEP). A idade de referência utilizada nesse indicador é a variável (NU_IDADE) do Censo Escolar, diferente da "variável derivada" utilizada nos indicadores propostos pelo IPARDES nas metas 1, 2 e 3.</w:t>
                  </w:r>
                </w:p>
                <w:p w14:paraId="322523B7">
                  <w:pPr>
                    <w:jc w:val="both"/>
                    <w:rPr>
                      <w:b/>
                    </w:rPr>
                  </w:pPr>
                  <w:r>
                    <w:t xml:space="preserve">Dessa forma, voltando a utilizar as variáveis código de matrícula (ID_MATRICULA) e idade como sendo no ano de nascimento do aluno, e não mais a idade até 31 de março. Essa opção foi assumida para que esse indicador, cujos dados estão disponíveis para os municípios, ficasse igual ao nacional. Observa-se que, na série calculada nesse estudo, não é mostrado o indicador para 2014, pois a variável (IN_ESPECIAL_EXCLUSIVA), necessária para se calcular o indicador, não foi identificada nos microdados, impossibilitando usar a metodologia para calcular o indicador para o ano de 2014. Portanto, foram calculados apenas os indicadores para os anos de 2015, 2016, 2017, 2018, 2019 e 2020 * </w:t>
                  </w:r>
                  <w:r>
                    <w:rPr>
                      <w:b/>
                    </w:rPr>
                    <w:t>PORÉM, A PARTIR DE 2021 OS ARQUIVOS DE DADOS DO CENSO ESCOLAR DA EDUCAÇÃO BÁSICA DISPONIBILIZADOS PELO INEP, NÃO PERMITEM MAIS VERIFICAR DEFICIÊNCIAS E CRUZAMENTO DE GRUPOS DE IDADES COM TIPO DE CLASSES (SE ESPECIAIS OU EXCLUSIVAS). DESSA FORMA, PARA OS MUNICÍPIOS, A SÉRIE HISTÓRICA FICA INTERROMPIDA EM 2021 POR FALTA DE DADOS PUBLICADOS.</w:t>
                  </w:r>
                </w:p>
              </w:tc>
            </w:tr>
          </w:tbl>
          <w:p w14:paraId="54CE788A">
            <w:pPr>
              <w:spacing w:after="160" w:line="259" w:lineRule="auto"/>
            </w:pPr>
          </w:p>
        </w:tc>
      </w:tr>
    </w:tbl>
    <w:p w14:paraId="1AD1A268"/>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1414"/>
        <w:gridCol w:w="1334"/>
        <w:gridCol w:w="1200"/>
        <w:gridCol w:w="1200"/>
        <w:gridCol w:w="1320"/>
        <w:gridCol w:w="1080"/>
        <w:gridCol w:w="1099"/>
        <w:gridCol w:w="1077"/>
        <w:gridCol w:w="885"/>
        <w:gridCol w:w="885"/>
      </w:tblGrid>
      <w:tr w14:paraId="4EC4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9" w:type="dxa"/>
            <w:gridSpan w:val="11"/>
          </w:tcPr>
          <w:p w14:paraId="5E8BD8AD">
            <w:pPr>
              <w:jc w:val="center"/>
              <w:rPr>
                <w:b/>
                <w:vertAlign w:val="baseline"/>
              </w:rPr>
            </w:pPr>
            <w:r>
              <w:rPr>
                <w:rFonts w:hint="default"/>
                <w:b/>
                <w:lang w:val="pt-BR"/>
              </w:rPr>
              <w:t xml:space="preserve">Dados / </w:t>
            </w:r>
            <w:r>
              <w:rPr>
                <w:b/>
              </w:rPr>
              <w:t>Indicador</w:t>
            </w:r>
            <w:r>
              <w:rPr>
                <w:rFonts w:hint="default"/>
                <w:b/>
                <w:lang w:val="pt-BR"/>
              </w:rPr>
              <w:t>ores: Indicador 4 B</w:t>
            </w:r>
          </w:p>
        </w:tc>
      </w:tr>
      <w:tr w14:paraId="7625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35" w:type="dxa"/>
            <w:tcBorders>
              <w:top w:val="outset" w:color="auto" w:sz="6" w:space="0"/>
              <w:left w:val="outset" w:color="auto" w:sz="6" w:space="0"/>
              <w:bottom w:val="outset" w:color="auto" w:sz="6" w:space="0"/>
              <w:right w:val="outset" w:color="auto" w:sz="6" w:space="0"/>
            </w:tcBorders>
          </w:tcPr>
          <w:p w14:paraId="58876140">
            <w:pPr>
              <w:spacing w:after="160" w:line="259" w:lineRule="auto"/>
              <w:rPr>
                <w:rFonts w:hint="default"/>
                <w:b/>
                <w:bCs/>
                <w:lang w:val="pt-BR"/>
              </w:rPr>
            </w:pPr>
            <w:r>
              <w:rPr>
                <w:rFonts w:hint="default"/>
                <w:b/>
                <w:bCs/>
                <w:lang w:val="pt-BR"/>
              </w:rPr>
              <w:t>Ano</w:t>
            </w:r>
          </w:p>
        </w:tc>
        <w:tc>
          <w:tcPr>
            <w:tcW w:w="1414" w:type="dxa"/>
            <w:tcBorders>
              <w:top w:val="outset" w:color="auto" w:sz="6" w:space="0"/>
              <w:left w:val="outset" w:color="auto" w:sz="6" w:space="0"/>
              <w:bottom w:val="outset" w:color="auto" w:sz="6" w:space="0"/>
              <w:right w:val="outset" w:color="auto" w:sz="6" w:space="0"/>
            </w:tcBorders>
          </w:tcPr>
          <w:p w14:paraId="4EB54583">
            <w:pPr>
              <w:spacing w:after="160" w:line="259" w:lineRule="auto"/>
              <w:rPr>
                <w:b/>
                <w:bCs/>
              </w:rPr>
            </w:pPr>
            <w:r>
              <w:rPr>
                <w:b/>
                <w:bCs/>
              </w:rPr>
              <w:t>2014</w:t>
            </w:r>
          </w:p>
        </w:tc>
        <w:tc>
          <w:tcPr>
            <w:tcW w:w="1334" w:type="dxa"/>
            <w:tcBorders>
              <w:top w:val="outset" w:color="auto" w:sz="6" w:space="0"/>
              <w:left w:val="outset" w:color="auto" w:sz="6" w:space="0"/>
              <w:bottom w:val="outset" w:color="auto" w:sz="6" w:space="0"/>
              <w:right w:val="outset" w:color="auto" w:sz="6" w:space="0"/>
            </w:tcBorders>
          </w:tcPr>
          <w:p w14:paraId="6168F608">
            <w:pPr>
              <w:spacing w:after="160" w:line="259" w:lineRule="auto"/>
              <w:rPr>
                <w:b/>
                <w:bCs/>
              </w:rPr>
            </w:pPr>
            <w:r>
              <w:rPr>
                <w:b/>
                <w:bCs/>
              </w:rPr>
              <w:t>2015</w:t>
            </w:r>
          </w:p>
        </w:tc>
        <w:tc>
          <w:tcPr>
            <w:tcW w:w="1200" w:type="dxa"/>
            <w:tcBorders>
              <w:top w:val="outset" w:color="auto" w:sz="6" w:space="0"/>
              <w:left w:val="outset" w:color="auto" w:sz="6" w:space="0"/>
              <w:bottom w:val="outset" w:color="auto" w:sz="6" w:space="0"/>
              <w:right w:val="outset" w:color="auto" w:sz="6" w:space="0"/>
            </w:tcBorders>
          </w:tcPr>
          <w:p w14:paraId="2FA640B6">
            <w:pPr>
              <w:spacing w:after="160" w:line="259" w:lineRule="auto"/>
              <w:rPr>
                <w:b/>
                <w:bCs/>
              </w:rPr>
            </w:pPr>
            <w:r>
              <w:rPr>
                <w:b/>
                <w:bCs/>
              </w:rPr>
              <w:t>2016</w:t>
            </w:r>
          </w:p>
        </w:tc>
        <w:tc>
          <w:tcPr>
            <w:tcW w:w="1200" w:type="dxa"/>
            <w:tcBorders>
              <w:top w:val="outset" w:color="auto" w:sz="6" w:space="0"/>
              <w:left w:val="outset" w:color="auto" w:sz="6" w:space="0"/>
              <w:bottom w:val="outset" w:color="auto" w:sz="6" w:space="0"/>
              <w:right w:val="outset" w:color="auto" w:sz="6" w:space="0"/>
            </w:tcBorders>
          </w:tcPr>
          <w:p w14:paraId="464503D0">
            <w:pPr>
              <w:spacing w:after="160" w:line="259" w:lineRule="auto"/>
              <w:rPr>
                <w:b/>
                <w:bCs/>
              </w:rPr>
            </w:pPr>
            <w:r>
              <w:rPr>
                <w:b/>
                <w:bCs/>
              </w:rPr>
              <w:t>2017</w:t>
            </w:r>
          </w:p>
        </w:tc>
        <w:tc>
          <w:tcPr>
            <w:tcW w:w="1320" w:type="dxa"/>
            <w:tcBorders>
              <w:top w:val="outset" w:color="auto" w:sz="6" w:space="0"/>
              <w:left w:val="outset" w:color="auto" w:sz="6" w:space="0"/>
              <w:bottom w:val="outset" w:color="auto" w:sz="6" w:space="0"/>
              <w:right w:val="outset" w:color="auto" w:sz="6" w:space="0"/>
            </w:tcBorders>
          </w:tcPr>
          <w:p w14:paraId="61CBAC25">
            <w:pPr>
              <w:spacing w:after="160" w:line="259" w:lineRule="auto"/>
              <w:rPr>
                <w:b/>
                <w:bCs/>
              </w:rPr>
            </w:pPr>
            <w:r>
              <w:rPr>
                <w:b/>
                <w:bCs/>
              </w:rPr>
              <w:t>2018</w:t>
            </w:r>
          </w:p>
        </w:tc>
        <w:tc>
          <w:tcPr>
            <w:tcW w:w="1080" w:type="dxa"/>
            <w:tcBorders>
              <w:top w:val="outset" w:color="auto" w:sz="6" w:space="0"/>
              <w:left w:val="outset" w:color="auto" w:sz="6" w:space="0"/>
              <w:bottom w:val="outset" w:color="auto" w:sz="6" w:space="0"/>
              <w:right w:val="outset" w:color="auto" w:sz="6" w:space="0"/>
            </w:tcBorders>
          </w:tcPr>
          <w:p w14:paraId="3AD30657">
            <w:pPr>
              <w:spacing w:after="160" w:line="259" w:lineRule="auto"/>
              <w:rPr>
                <w:b/>
                <w:bCs/>
              </w:rPr>
            </w:pPr>
            <w:r>
              <w:rPr>
                <w:b/>
                <w:bCs/>
              </w:rPr>
              <w:t>2019</w:t>
            </w:r>
          </w:p>
        </w:tc>
        <w:tc>
          <w:tcPr>
            <w:tcW w:w="1099" w:type="dxa"/>
            <w:tcBorders>
              <w:top w:val="outset" w:color="auto" w:sz="6" w:space="0"/>
              <w:left w:val="outset" w:color="auto" w:sz="6" w:space="0"/>
              <w:bottom w:val="outset" w:color="auto" w:sz="6" w:space="0"/>
              <w:right w:val="outset" w:color="auto" w:sz="6" w:space="0"/>
            </w:tcBorders>
          </w:tcPr>
          <w:p w14:paraId="23AD7226">
            <w:pPr>
              <w:spacing w:after="160" w:line="259" w:lineRule="auto"/>
              <w:rPr>
                <w:b/>
                <w:bCs/>
              </w:rPr>
            </w:pPr>
            <w:r>
              <w:rPr>
                <w:b/>
                <w:bCs/>
              </w:rPr>
              <w:t>2020</w:t>
            </w:r>
          </w:p>
        </w:tc>
        <w:tc>
          <w:tcPr>
            <w:tcW w:w="1077" w:type="dxa"/>
            <w:tcBorders>
              <w:top w:val="outset" w:color="auto" w:sz="6" w:space="0"/>
              <w:left w:val="outset" w:color="auto" w:sz="6" w:space="0"/>
              <w:bottom w:val="outset" w:color="auto" w:sz="6" w:space="0"/>
              <w:right w:val="outset" w:color="auto" w:sz="6" w:space="0"/>
            </w:tcBorders>
          </w:tcPr>
          <w:p w14:paraId="1D640B29">
            <w:pPr>
              <w:spacing w:after="160" w:line="259" w:lineRule="auto"/>
              <w:rPr>
                <w:b/>
                <w:bCs/>
              </w:rPr>
            </w:pPr>
            <w:r>
              <w:rPr>
                <w:b/>
                <w:bCs/>
              </w:rPr>
              <w:t>2021</w:t>
            </w:r>
          </w:p>
        </w:tc>
        <w:tc>
          <w:tcPr>
            <w:tcW w:w="885" w:type="dxa"/>
            <w:tcBorders>
              <w:top w:val="outset" w:color="auto" w:sz="6" w:space="0"/>
              <w:left w:val="outset" w:color="auto" w:sz="6" w:space="0"/>
              <w:bottom w:val="outset" w:color="auto" w:sz="6" w:space="0"/>
              <w:right w:val="outset" w:color="auto" w:sz="6" w:space="0"/>
            </w:tcBorders>
          </w:tcPr>
          <w:p w14:paraId="00E528CA">
            <w:pPr>
              <w:spacing w:after="160" w:line="259" w:lineRule="auto"/>
              <w:rPr>
                <w:b/>
                <w:bCs/>
              </w:rPr>
            </w:pPr>
            <w:r>
              <w:rPr>
                <w:b/>
                <w:bCs/>
              </w:rPr>
              <w:t>2022</w:t>
            </w:r>
          </w:p>
        </w:tc>
        <w:tc>
          <w:tcPr>
            <w:tcW w:w="885" w:type="dxa"/>
            <w:tcBorders>
              <w:top w:val="outset" w:color="auto" w:sz="6" w:space="0"/>
              <w:left w:val="outset" w:color="auto" w:sz="6" w:space="0"/>
              <w:bottom w:val="outset" w:color="auto" w:sz="6" w:space="0"/>
              <w:right w:val="outset" w:color="auto" w:sz="6" w:space="0"/>
            </w:tcBorders>
          </w:tcPr>
          <w:p w14:paraId="406DC34E">
            <w:pPr>
              <w:spacing w:after="160" w:line="259" w:lineRule="auto"/>
              <w:rPr>
                <w:rFonts w:hint="default"/>
                <w:b/>
                <w:bCs/>
                <w:lang w:val="pt-BR"/>
              </w:rPr>
            </w:pPr>
            <w:r>
              <w:rPr>
                <w:rFonts w:hint="default"/>
                <w:b/>
                <w:bCs/>
                <w:lang w:val="pt-BR"/>
              </w:rPr>
              <w:t>2023</w:t>
            </w:r>
          </w:p>
        </w:tc>
      </w:tr>
      <w:tr w14:paraId="08E3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35" w:type="dxa"/>
            <w:tcBorders>
              <w:top w:val="nil"/>
              <w:left w:val="outset" w:color="auto" w:sz="6" w:space="0"/>
              <w:bottom w:val="outset" w:color="auto" w:sz="6" w:space="0"/>
              <w:right w:val="outset" w:color="auto" w:sz="6" w:space="0"/>
            </w:tcBorders>
          </w:tcPr>
          <w:p w14:paraId="4A13E26B">
            <w:pPr>
              <w:spacing w:after="160" w:line="259" w:lineRule="auto"/>
              <w:rPr>
                <w:rFonts w:hint="default"/>
                <w:lang w:val="pt-BR"/>
              </w:rPr>
            </w:pPr>
            <w:r>
              <w:rPr>
                <w:rFonts w:hint="default"/>
                <w:lang w:val="pt-BR"/>
              </w:rPr>
              <w:t xml:space="preserve">Indicador </w:t>
            </w:r>
          </w:p>
        </w:tc>
        <w:tc>
          <w:tcPr>
            <w:tcW w:w="1414" w:type="dxa"/>
            <w:tcBorders>
              <w:top w:val="nil"/>
              <w:left w:val="outset" w:color="auto" w:sz="6" w:space="0"/>
              <w:bottom w:val="outset" w:color="auto" w:sz="6" w:space="0"/>
              <w:right w:val="outset" w:color="auto" w:sz="6" w:space="0"/>
            </w:tcBorders>
          </w:tcPr>
          <w:p w14:paraId="72B5AA49">
            <w:pPr>
              <w:spacing w:after="160" w:line="259" w:lineRule="auto"/>
              <w:rPr>
                <w:rFonts w:hint="default"/>
                <w:lang w:val="pt-BR"/>
              </w:rPr>
            </w:pPr>
          </w:p>
        </w:tc>
        <w:tc>
          <w:tcPr>
            <w:tcW w:w="1334" w:type="dxa"/>
            <w:tcBorders>
              <w:top w:val="nil"/>
              <w:left w:val="outset" w:color="auto" w:sz="6" w:space="0"/>
              <w:bottom w:val="outset" w:color="auto" w:sz="6" w:space="0"/>
              <w:right w:val="outset" w:color="auto" w:sz="6" w:space="0"/>
            </w:tcBorders>
          </w:tcPr>
          <w:p w14:paraId="0014CE31">
            <w:pPr>
              <w:spacing w:after="160" w:line="259" w:lineRule="auto"/>
            </w:pPr>
            <w:r>
              <w:rPr>
                <w:rFonts w:hint="default"/>
                <w:lang w:val="pt-BR"/>
              </w:rPr>
              <w:t>50,0</w:t>
            </w:r>
            <w:r>
              <w:t>%</w:t>
            </w:r>
          </w:p>
        </w:tc>
        <w:tc>
          <w:tcPr>
            <w:tcW w:w="1200" w:type="dxa"/>
            <w:tcBorders>
              <w:top w:val="nil"/>
              <w:left w:val="outset" w:color="auto" w:sz="6" w:space="0"/>
              <w:bottom w:val="outset" w:color="auto" w:sz="6" w:space="0"/>
              <w:right w:val="outset" w:color="auto" w:sz="6" w:space="0"/>
            </w:tcBorders>
          </w:tcPr>
          <w:p w14:paraId="383EB7A5">
            <w:pPr>
              <w:spacing w:after="160" w:line="259" w:lineRule="auto"/>
            </w:pPr>
            <w:r>
              <w:rPr>
                <w:rFonts w:hint="default"/>
                <w:lang w:val="pt-BR"/>
              </w:rPr>
              <w:t>41,2</w:t>
            </w:r>
            <w:r>
              <w:t>%</w:t>
            </w:r>
          </w:p>
        </w:tc>
        <w:tc>
          <w:tcPr>
            <w:tcW w:w="1200" w:type="dxa"/>
            <w:tcBorders>
              <w:top w:val="nil"/>
              <w:left w:val="outset" w:color="auto" w:sz="6" w:space="0"/>
              <w:bottom w:val="outset" w:color="auto" w:sz="6" w:space="0"/>
              <w:right w:val="outset" w:color="auto" w:sz="6" w:space="0"/>
            </w:tcBorders>
          </w:tcPr>
          <w:p w14:paraId="0CB057CC">
            <w:pPr>
              <w:spacing w:after="160" w:line="259" w:lineRule="auto"/>
            </w:pPr>
            <w:r>
              <w:rPr>
                <w:rFonts w:hint="default"/>
                <w:lang w:val="pt-BR"/>
              </w:rPr>
              <w:t>50,0</w:t>
            </w:r>
            <w:r>
              <w:t>%</w:t>
            </w:r>
          </w:p>
        </w:tc>
        <w:tc>
          <w:tcPr>
            <w:tcW w:w="1320" w:type="dxa"/>
            <w:tcBorders>
              <w:top w:val="nil"/>
              <w:left w:val="outset" w:color="auto" w:sz="6" w:space="0"/>
              <w:bottom w:val="outset" w:color="auto" w:sz="6" w:space="0"/>
              <w:right w:val="outset" w:color="auto" w:sz="6" w:space="0"/>
            </w:tcBorders>
          </w:tcPr>
          <w:p w14:paraId="7696D0FB">
            <w:pPr>
              <w:spacing w:after="160" w:line="259" w:lineRule="auto"/>
            </w:pPr>
            <w:r>
              <w:rPr>
                <w:rFonts w:hint="default"/>
                <w:lang w:val="pt-BR"/>
              </w:rPr>
              <w:t>55,0</w:t>
            </w:r>
            <w:r>
              <w:t>%</w:t>
            </w:r>
          </w:p>
        </w:tc>
        <w:tc>
          <w:tcPr>
            <w:tcW w:w="1080" w:type="dxa"/>
            <w:tcBorders>
              <w:top w:val="nil"/>
              <w:left w:val="outset" w:color="auto" w:sz="6" w:space="0"/>
              <w:bottom w:val="outset" w:color="auto" w:sz="6" w:space="0"/>
              <w:right w:val="outset" w:color="auto" w:sz="6" w:space="0"/>
            </w:tcBorders>
          </w:tcPr>
          <w:p w14:paraId="59DBED63">
            <w:pPr>
              <w:spacing w:after="160" w:line="259" w:lineRule="auto"/>
            </w:pPr>
            <w:r>
              <w:rPr>
                <w:rFonts w:hint="default"/>
                <w:lang w:val="pt-BR"/>
              </w:rPr>
              <w:t>62,5</w:t>
            </w:r>
            <w:r>
              <w:t>%</w:t>
            </w:r>
          </w:p>
        </w:tc>
        <w:tc>
          <w:tcPr>
            <w:tcW w:w="1099" w:type="dxa"/>
            <w:tcBorders>
              <w:top w:val="nil"/>
              <w:left w:val="outset" w:color="auto" w:sz="6" w:space="0"/>
              <w:bottom w:val="outset" w:color="auto" w:sz="6" w:space="0"/>
              <w:right w:val="outset" w:color="auto" w:sz="6" w:space="0"/>
            </w:tcBorders>
          </w:tcPr>
          <w:p w14:paraId="25DF2491">
            <w:pPr>
              <w:spacing w:after="160" w:line="259" w:lineRule="auto"/>
            </w:pPr>
            <w:r>
              <w:rPr>
                <w:rFonts w:hint="default"/>
                <w:lang w:val="pt-BR"/>
              </w:rPr>
              <w:t>47,1</w:t>
            </w:r>
            <w:r>
              <w:t>%</w:t>
            </w:r>
          </w:p>
        </w:tc>
        <w:tc>
          <w:tcPr>
            <w:tcW w:w="1077" w:type="dxa"/>
            <w:tcBorders>
              <w:top w:val="nil"/>
              <w:left w:val="outset" w:color="auto" w:sz="6" w:space="0"/>
              <w:bottom w:val="outset" w:color="auto" w:sz="6" w:space="0"/>
              <w:right w:val="outset" w:color="auto" w:sz="6" w:space="0"/>
            </w:tcBorders>
          </w:tcPr>
          <w:p w14:paraId="6B796299">
            <w:pPr>
              <w:spacing w:after="160" w:line="259" w:lineRule="auto"/>
              <w:rPr>
                <w:rFonts w:hint="default"/>
                <w:lang w:val="pt-BR"/>
              </w:rPr>
            </w:pPr>
            <w:r>
              <w:rPr>
                <w:rFonts w:hint="default"/>
                <w:lang w:val="pt-BR"/>
              </w:rPr>
              <w:t>*</w:t>
            </w:r>
          </w:p>
        </w:tc>
        <w:tc>
          <w:tcPr>
            <w:tcW w:w="885" w:type="dxa"/>
            <w:tcBorders>
              <w:top w:val="nil"/>
              <w:left w:val="outset" w:color="auto" w:sz="6" w:space="0"/>
              <w:bottom w:val="outset" w:color="auto" w:sz="6" w:space="0"/>
              <w:right w:val="outset" w:color="auto" w:sz="6" w:space="0"/>
            </w:tcBorders>
          </w:tcPr>
          <w:p w14:paraId="2D9BF556">
            <w:pPr>
              <w:spacing w:after="160" w:line="259" w:lineRule="auto"/>
              <w:rPr>
                <w:rFonts w:hint="default"/>
                <w:lang w:val="pt-BR"/>
              </w:rPr>
            </w:pPr>
            <w:r>
              <w:rPr>
                <w:rFonts w:hint="default"/>
                <w:lang w:val="pt-BR"/>
              </w:rPr>
              <w:t>*</w:t>
            </w:r>
          </w:p>
        </w:tc>
        <w:tc>
          <w:tcPr>
            <w:tcW w:w="885" w:type="dxa"/>
            <w:tcBorders>
              <w:top w:val="nil"/>
              <w:left w:val="outset" w:color="auto" w:sz="6" w:space="0"/>
              <w:bottom w:val="outset" w:color="auto" w:sz="6" w:space="0"/>
              <w:right w:val="outset" w:color="auto" w:sz="6" w:space="0"/>
            </w:tcBorders>
          </w:tcPr>
          <w:p w14:paraId="72641BAA">
            <w:pPr>
              <w:spacing w:after="160" w:line="259" w:lineRule="auto"/>
              <w:rPr>
                <w:rFonts w:hint="default"/>
                <w:lang w:val="pt-BR"/>
              </w:rPr>
            </w:pPr>
            <w:r>
              <w:rPr>
                <w:rFonts w:hint="default"/>
                <w:lang w:val="pt-BR"/>
              </w:rPr>
              <w:t>*</w:t>
            </w:r>
          </w:p>
        </w:tc>
      </w:tr>
      <w:tr w14:paraId="595B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9" w:type="dxa"/>
            <w:gridSpan w:val="11"/>
          </w:tcPr>
          <w:p w14:paraId="5BF263B7">
            <w:pPr>
              <w:jc w:val="center"/>
              <w:rPr>
                <w:vertAlign w:val="baseline"/>
              </w:rPr>
            </w:pPr>
            <w:r>
              <w:t>Fonte: INEP - Censo Escolar Educação Básica</w:t>
            </w:r>
          </w:p>
        </w:tc>
      </w:tr>
    </w:tbl>
    <w:p w14:paraId="30EB3B9E"/>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363"/>
        <w:gridCol w:w="959"/>
        <w:gridCol w:w="1114"/>
        <w:gridCol w:w="269"/>
        <w:gridCol w:w="845"/>
        <w:gridCol w:w="6672"/>
      </w:tblGrid>
      <w:tr w14:paraId="1A8F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7"/>
          </w:tcPr>
          <w:p w14:paraId="3034E844">
            <w:pPr>
              <w:pStyle w:val="16"/>
              <w:numPr>
                <w:ilvl w:val="0"/>
                <w:numId w:val="0"/>
              </w:numPr>
              <w:jc w:val="center"/>
              <w:rPr>
                <w:rFonts w:hint="default"/>
                <w:b/>
                <w:vertAlign w:val="baseline"/>
                <w:lang w:val="pt-BR"/>
              </w:rPr>
            </w:pPr>
            <w:r>
              <w:rPr>
                <w:rFonts w:hint="default"/>
                <w:b/>
                <w:vertAlign w:val="baseline"/>
                <w:lang w:val="pt-BR"/>
              </w:rPr>
              <w:t>Ficha metodológica para o indicador 4C</w:t>
            </w:r>
            <w:r>
              <w:rPr>
                <w:rFonts w:hint="default"/>
                <w:b/>
                <w:bCs w:val="0"/>
                <w:vertAlign w:val="baseline"/>
                <w:lang w:val="pt-BR"/>
              </w:rPr>
              <w:t xml:space="preserve"> </w:t>
            </w:r>
            <w:r>
              <w:rPr>
                <w:rFonts w:hint="default"/>
                <w:b/>
                <w:vertAlign w:val="baseline"/>
                <w:lang w:val="pt-BR"/>
              </w:rPr>
              <w:t>- base PNE</w:t>
            </w:r>
          </w:p>
        </w:tc>
      </w:tr>
      <w:tr w14:paraId="27F2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gridSpan w:val="5"/>
            <w:tcBorders>
              <w:top w:val="outset" w:color="auto" w:sz="6" w:space="0"/>
              <w:left w:val="outset" w:color="auto" w:sz="6" w:space="0"/>
              <w:bottom w:val="outset" w:color="auto" w:sz="6" w:space="0"/>
              <w:right w:val="outset" w:color="auto" w:sz="6" w:space="0"/>
            </w:tcBorders>
          </w:tcPr>
          <w:p w14:paraId="4E9C1C10">
            <w:pPr>
              <w:spacing w:after="160" w:line="259" w:lineRule="auto"/>
              <w:rPr>
                <w:b/>
              </w:rPr>
            </w:pPr>
            <w:r>
              <w:t xml:space="preserve">  </w:t>
            </w:r>
            <w:r>
              <w:rPr>
                <w:b/>
              </w:rPr>
              <w:t>Meta</w:t>
            </w:r>
          </w:p>
        </w:tc>
        <w:tc>
          <w:tcPr>
            <w:tcW w:w="7517" w:type="dxa"/>
            <w:gridSpan w:val="2"/>
            <w:tcBorders>
              <w:top w:val="outset" w:color="auto" w:sz="6" w:space="0"/>
              <w:left w:val="outset" w:color="auto" w:sz="6" w:space="0"/>
              <w:bottom w:val="outset" w:color="auto" w:sz="6" w:space="0"/>
              <w:right w:val="outset" w:color="auto" w:sz="6" w:space="0"/>
            </w:tcBorders>
          </w:tcPr>
          <w:p w14:paraId="7571F2DD">
            <w:pPr>
              <w:spacing w:after="160" w:line="259" w:lineRule="auto"/>
              <w:rPr>
                <w:b/>
              </w:rPr>
            </w:pPr>
            <w:r>
              <w:rPr>
                <w:b/>
              </w:rPr>
              <w:t>Texto da meta</w:t>
            </w:r>
          </w:p>
        </w:tc>
      </w:tr>
      <w:tr w14:paraId="19B8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gridSpan w:val="5"/>
            <w:tcBorders>
              <w:top w:val="nil"/>
              <w:left w:val="outset" w:color="auto" w:sz="6" w:space="0"/>
              <w:bottom w:val="outset" w:color="auto" w:sz="6" w:space="0"/>
              <w:right w:val="outset" w:color="auto" w:sz="6" w:space="0"/>
            </w:tcBorders>
          </w:tcPr>
          <w:p w14:paraId="342A341F">
            <w:pPr>
              <w:spacing w:after="160" w:line="259" w:lineRule="auto"/>
            </w:pPr>
            <w:r>
              <w:t>4</w:t>
            </w:r>
          </w:p>
          <w:p w14:paraId="73684A0F">
            <w:pPr>
              <w:spacing w:after="160" w:line="259" w:lineRule="auto"/>
            </w:pPr>
          </w:p>
          <w:p w14:paraId="64FD8FD6">
            <w:pPr>
              <w:spacing w:after="160" w:line="259" w:lineRule="auto"/>
            </w:pPr>
          </w:p>
          <w:p w14:paraId="737947B0">
            <w:pPr>
              <w:spacing w:after="160" w:line="259" w:lineRule="auto"/>
            </w:pPr>
          </w:p>
        </w:tc>
        <w:tc>
          <w:tcPr>
            <w:tcW w:w="7517" w:type="dxa"/>
            <w:gridSpan w:val="2"/>
            <w:tcBorders>
              <w:top w:val="nil"/>
              <w:left w:val="outset" w:color="auto" w:sz="6" w:space="0"/>
              <w:bottom w:val="outset" w:color="auto" w:sz="6" w:space="0"/>
              <w:right w:val="outset" w:color="auto" w:sz="6" w:space="0"/>
            </w:tcBorders>
          </w:tcPr>
          <w:p w14:paraId="23E0BC0C">
            <w:pPr>
              <w:spacing w:after="160" w:line="259" w:lineRule="auto"/>
              <w:jc w:val="both"/>
              <w:rPr>
                <w:rFonts w:hint="default"/>
                <w:i/>
                <w:lang w:val="pt-BR"/>
              </w:rPr>
            </w:pPr>
            <w:r>
              <w:rPr>
                <w:bCs/>
              </w:rPr>
              <w:t>Universalizar, para a população de 4 (quatro) a 17 (dezessete)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w:t>
            </w:r>
            <w:r>
              <w:rPr>
                <w:rFonts w:hint="default"/>
                <w:bCs/>
                <w:lang w:val="pt-BR"/>
              </w:rPr>
              <w:t>.</w:t>
            </w:r>
          </w:p>
        </w:tc>
      </w:tr>
      <w:tr w14:paraId="1A75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gridSpan w:val="5"/>
            <w:tcBorders>
              <w:top w:val="nil"/>
              <w:left w:val="outset" w:color="auto" w:sz="6" w:space="0"/>
              <w:bottom w:val="outset" w:color="auto" w:sz="6" w:space="0"/>
              <w:right w:val="outset" w:color="auto" w:sz="6" w:space="0"/>
            </w:tcBorders>
          </w:tcPr>
          <w:p w14:paraId="578BF3AD">
            <w:pPr>
              <w:spacing w:after="160" w:line="259" w:lineRule="auto"/>
              <w:rPr>
                <w:rFonts w:hint="default"/>
                <w:lang w:val="pt-BR"/>
              </w:rPr>
            </w:pPr>
            <w:r>
              <w:t xml:space="preserve">Indicador </w:t>
            </w:r>
            <w:r>
              <w:rPr>
                <w:rFonts w:hint="default"/>
                <w:lang w:val="pt-BR"/>
              </w:rPr>
              <w:t>4 C Nacional</w:t>
            </w:r>
          </w:p>
        </w:tc>
        <w:tc>
          <w:tcPr>
            <w:tcW w:w="7517" w:type="dxa"/>
            <w:gridSpan w:val="2"/>
            <w:tcBorders>
              <w:top w:val="nil"/>
              <w:left w:val="outset" w:color="auto" w:sz="6" w:space="0"/>
              <w:bottom w:val="outset" w:color="auto" w:sz="6" w:space="0"/>
              <w:right w:val="outset" w:color="auto" w:sz="6" w:space="0"/>
            </w:tcBorders>
          </w:tcPr>
          <w:p w14:paraId="07D0D6AA">
            <w:pPr>
              <w:spacing w:after="160" w:line="259" w:lineRule="auto"/>
              <w:jc w:val="both"/>
            </w:pPr>
            <w:r>
              <w:t>Percentual de matrículas na educação básica de alunos de 4 a 17 anos de idade com deficiência, TGD, altas habilidades ou superdotação que recebem atendimento educacional especializado– Replica do Nacional.</w:t>
            </w:r>
          </w:p>
        </w:tc>
      </w:tr>
      <w:tr w14:paraId="3507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gridSpan w:val="5"/>
            <w:tcBorders>
              <w:top w:val="nil"/>
              <w:left w:val="outset" w:color="auto" w:sz="6" w:space="0"/>
              <w:bottom w:val="outset" w:color="auto" w:sz="6" w:space="0"/>
              <w:right w:val="outset" w:color="auto" w:sz="6" w:space="0"/>
            </w:tcBorders>
          </w:tcPr>
          <w:p w14:paraId="23A101B2">
            <w:pPr>
              <w:spacing w:after="160" w:line="259" w:lineRule="auto"/>
              <w:rPr>
                <w:rFonts w:hint="default"/>
                <w:lang w:val="pt-BR"/>
              </w:rPr>
            </w:pPr>
            <w:r>
              <w:rPr>
                <w:rFonts w:hint="default"/>
                <w:lang w:val="pt-BR"/>
              </w:rPr>
              <w:t>Indicador 4 C Proposto</w:t>
            </w:r>
          </w:p>
        </w:tc>
        <w:tc>
          <w:tcPr>
            <w:tcW w:w="7517" w:type="dxa"/>
            <w:gridSpan w:val="2"/>
            <w:tcBorders>
              <w:top w:val="nil"/>
              <w:left w:val="outset" w:color="auto" w:sz="6" w:space="0"/>
              <w:bottom w:val="outset" w:color="auto" w:sz="6" w:space="0"/>
              <w:right w:val="outset" w:color="auto" w:sz="6" w:space="0"/>
            </w:tcBorders>
          </w:tcPr>
          <w:p w14:paraId="17003A22">
            <w:pPr>
              <w:spacing w:after="160" w:line="259" w:lineRule="auto"/>
              <w:rPr>
                <w:rFonts w:hint="default"/>
                <w:lang w:val="pt-BR"/>
              </w:rPr>
            </w:pPr>
            <w:r>
              <w:rPr>
                <w:rFonts w:hint="default"/>
                <w:lang w:val="pt-BR"/>
              </w:rPr>
              <w:t>Replicar Nacional</w:t>
            </w:r>
          </w:p>
        </w:tc>
      </w:tr>
      <w:tr w14:paraId="65A4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gridSpan w:val="5"/>
            <w:tcBorders>
              <w:top w:val="nil"/>
              <w:left w:val="outset" w:color="auto" w:sz="6" w:space="0"/>
              <w:bottom w:val="outset" w:color="auto" w:sz="6" w:space="0"/>
              <w:right w:val="outset" w:color="auto" w:sz="6" w:space="0"/>
            </w:tcBorders>
          </w:tcPr>
          <w:p w14:paraId="695D5624">
            <w:pPr>
              <w:spacing w:after="160" w:line="259" w:lineRule="auto"/>
            </w:pPr>
            <w:r>
              <w:t>Fórmula de cálculo</w:t>
            </w:r>
          </w:p>
        </w:tc>
        <w:tc>
          <w:tcPr>
            <w:tcW w:w="7517" w:type="dxa"/>
            <w:gridSpan w:val="2"/>
            <w:tcBorders>
              <w:top w:val="nil"/>
              <w:left w:val="outset" w:color="auto" w:sz="6" w:space="0"/>
              <w:bottom w:val="outset" w:color="auto" w:sz="6" w:space="0"/>
              <w:right w:val="outset" w:color="auto" w:sz="6" w:space="0"/>
            </w:tcBorders>
          </w:tcPr>
          <w:p w14:paraId="26C2DDDE">
            <w:pPr>
              <w:spacing w:after="160" w:line="259" w:lineRule="auto"/>
              <w:jc w:val="both"/>
            </w:pPr>
            <w:r>
              <w:t>(número de matrículas de turmas de escolarização em classes especiais ou escolas exclusivas ou cujo aluno está em turma de atendimento educacional especializado, da educação básica de alunos de 4 a 17 anos de idade com deficiência, transtornos globais do desenvolvimento, altas habilidades ou superdotação / Total de matrículas na educação básica de alunos de 4 a 17 anos de idade com</w:t>
            </w:r>
            <w:r>
              <w:rPr>
                <w:rFonts w:hint="default"/>
                <w:lang w:val="pt-BR"/>
              </w:rPr>
              <w:t xml:space="preserve"> </w:t>
            </w:r>
            <w:r>
              <w:t>deficiência, transtornos globais do desenvolvimento e altas habilidades superdotação) x 100</w:t>
            </w:r>
          </w:p>
        </w:tc>
      </w:tr>
      <w:tr w14:paraId="75C7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19" w:type="dxa"/>
            <w:gridSpan w:val="5"/>
            <w:tcBorders>
              <w:top w:val="nil"/>
              <w:left w:val="outset" w:color="auto" w:sz="6" w:space="0"/>
              <w:bottom w:val="outset" w:color="auto" w:sz="6" w:space="0"/>
              <w:right w:val="outset" w:color="auto" w:sz="6" w:space="0"/>
            </w:tcBorders>
          </w:tcPr>
          <w:p w14:paraId="2BE01298">
            <w:pPr>
              <w:spacing w:after="160" w:line="259" w:lineRule="auto"/>
            </w:pPr>
            <w:r>
              <w:t>Comentário</w:t>
            </w:r>
          </w:p>
        </w:tc>
        <w:tc>
          <w:tcPr>
            <w:tcW w:w="7517" w:type="dxa"/>
            <w:gridSpan w:val="2"/>
            <w:tcBorders>
              <w:top w:val="nil"/>
              <w:left w:val="outset" w:color="auto" w:sz="6" w:space="0"/>
              <w:bottom w:val="outset" w:color="auto" w:sz="6" w:space="0"/>
              <w:right w:val="outset" w:color="auto" w:sz="6" w:space="0"/>
            </w:tcBorders>
          </w:tcPr>
          <w:p w14:paraId="551F8FE4">
            <w:pPr>
              <w:spacing w:after="160" w:line="259" w:lineRule="auto"/>
              <w:jc w:val="both"/>
            </w:pPr>
            <w:r>
              <w:t xml:space="preserve">Incluído e calculado conforme Relatório do 3º Ciclo de Monitoramento das Metas do Plano Nacional de Educação – 2020 (INEP). </w:t>
            </w:r>
            <w:r>
              <w:rPr>
                <w:b/>
              </w:rPr>
              <w:t>*PORÉM, A PARTIR DE 2021 OS ARQUIVOS DE DADOS DO CENSO ESCOLAR DA EDUCAÇÃO BÁSICA DISPONIBILIZADOS PELO INEP, NÃO PERMITEM MAIS VERIFICAR DEFICIÊNCIAS E CRUZAMENTO</w:t>
            </w:r>
            <w:r>
              <w:rPr>
                <w:rFonts w:hint="default"/>
                <w:b/>
                <w:lang w:val="pt-BR"/>
              </w:rPr>
              <w:t xml:space="preserve"> </w:t>
            </w:r>
            <w:r>
              <w:rPr>
                <w:b/>
              </w:rPr>
              <w:t>DE GRUPOS DE IDADES COM TIPO DE CLASSES (SE ESPECIAIS OU EXCLUSIVAS). DESSA FORMA, PARA OS MUNICÍPIOS, A SÉRIE HISTÓRICA FICA INTERROMPIDA EM 2021 POR FALTA DE DADOS PUBLICADOS.</w:t>
            </w:r>
          </w:p>
        </w:tc>
      </w:tr>
      <w:tr w14:paraId="1E0D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7"/>
          </w:tcPr>
          <w:p w14:paraId="675CD26B">
            <w:pPr>
              <w:rPr>
                <w:rFonts w:hint="default"/>
                <w:b/>
                <w:vertAlign w:val="baseline"/>
                <w:lang w:val="pt-BR"/>
              </w:rPr>
            </w:pPr>
            <w:r>
              <w:rPr>
                <w:b/>
              </w:rPr>
              <w:t xml:space="preserve"> </w:t>
            </w:r>
            <w:r>
              <w:rPr>
                <w:rFonts w:hint="default"/>
                <w:b/>
                <w:vertAlign w:val="baseline"/>
                <w:lang w:val="pt-BR"/>
              </w:rPr>
              <w:t>Dados / Indicadores: Indicador 4C</w:t>
            </w:r>
          </w:p>
        </w:tc>
      </w:tr>
      <w:tr w14:paraId="4050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6672" w:type="dxa"/>
        </w:trPr>
        <w:tc>
          <w:tcPr>
            <w:tcW w:w="1814" w:type="dxa"/>
            <w:tcBorders>
              <w:top w:val="outset" w:color="auto" w:sz="6" w:space="0"/>
              <w:left w:val="outset" w:color="auto" w:sz="6" w:space="0"/>
              <w:bottom w:val="outset" w:color="auto" w:sz="6" w:space="0"/>
              <w:right w:val="outset" w:color="auto" w:sz="6" w:space="0"/>
            </w:tcBorders>
          </w:tcPr>
          <w:p w14:paraId="20EF6830">
            <w:pPr>
              <w:spacing w:after="160" w:line="259" w:lineRule="auto"/>
              <w:rPr>
                <w:rFonts w:hint="default"/>
                <w:lang w:val="pt-BR"/>
              </w:rPr>
            </w:pPr>
            <w:r>
              <w:rPr>
                <w:rFonts w:hint="default"/>
                <w:lang w:val="pt-BR"/>
              </w:rPr>
              <w:t>Ano</w:t>
            </w:r>
          </w:p>
        </w:tc>
        <w:tc>
          <w:tcPr>
            <w:tcW w:w="1363" w:type="dxa"/>
            <w:tcBorders>
              <w:top w:val="outset" w:color="auto" w:sz="6" w:space="0"/>
              <w:left w:val="outset" w:color="auto" w:sz="6" w:space="0"/>
              <w:bottom w:val="outset" w:color="auto" w:sz="6" w:space="0"/>
              <w:right w:val="outset" w:color="auto" w:sz="6" w:space="0"/>
            </w:tcBorders>
          </w:tcPr>
          <w:p w14:paraId="44EFBA70">
            <w:pPr>
              <w:spacing w:after="160" w:line="259" w:lineRule="auto"/>
            </w:pPr>
            <w:r>
              <w:t>2020</w:t>
            </w:r>
          </w:p>
        </w:tc>
        <w:tc>
          <w:tcPr>
            <w:tcW w:w="959" w:type="dxa"/>
            <w:tcBorders>
              <w:top w:val="outset" w:color="auto" w:sz="6" w:space="0"/>
              <w:left w:val="outset" w:color="auto" w:sz="6" w:space="0"/>
              <w:bottom w:val="outset" w:color="auto" w:sz="6" w:space="0"/>
              <w:right w:val="outset" w:color="auto" w:sz="6" w:space="0"/>
            </w:tcBorders>
          </w:tcPr>
          <w:p w14:paraId="07EB5750">
            <w:pPr>
              <w:spacing w:after="160" w:line="259" w:lineRule="auto"/>
            </w:pPr>
            <w:r>
              <w:t>2021</w:t>
            </w:r>
          </w:p>
        </w:tc>
        <w:tc>
          <w:tcPr>
            <w:tcW w:w="1114" w:type="dxa"/>
            <w:tcBorders>
              <w:top w:val="outset" w:color="auto" w:sz="6" w:space="0"/>
              <w:left w:val="outset" w:color="auto" w:sz="6" w:space="0"/>
              <w:bottom w:val="outset" w:color="auto" w:sz="6" w:space="0"/>
              <w:right w:val="outset" w:color="auto" w:sz="6" w:space="0"/>
            </w:tcBorders>
          </w:tcPr>
          <w:p w14:paraId="62690FA9">
            <w:pPr>
              <w:spacing w:after="160" w:line="259" w:lineRule="auto"/>
            </w:pPr>
            <w:r>
              <w:t>2022</w:t>
            </w:r>
          </w:p>
        </w:tc>
        <w:tc>
          <w:tcPr>
            <w:tcW w:w="1114" w:type="dxa"/>
            <w:gridSpan w:val="2"/>
            <w:tcBorders>
              <w:top w:val="outset" w:color="auto" w:sz="6" w:space="0"/>
              <w:left w:val="outset" w:color="auto" w:sz="6" w:space="0"/>
              <w:bottom w:val="outset" w:color="auto" w:sz="6" w:space="0"/>
              <w:right w:val="outset" w:color="auto" w:sz="6" w:space="0"/>
            </w:tcBorders>
          </w:tcPr>
          <w:p w14:paraId="54D378BA">
            <w:pPr>
              <w:spacing w:after="160" w:line="259" w:lineRule="auto"/>
              <w:rPr>
                <w:rFonts w:hint="default"/>
                <w:lang w:val="pt-BR"/>
              </w:rPr>
            </w:pPr>
            <w:r>
              <w:rPr>
                <w:rFonts w:hint="default"/>
                <w:lang w:val="pt-BR"/>
              </w:rPr>
              <w:t>2023</w:t>
            </w:r>
          </w:p>
        </w:tc>
      </w:tr>
      <w:tr w14:paraId="5246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6672" w:type="dxa"/>
        </w:trPr>
        <w:tc>
          <w:tcPr>
            <w:tcW w:w="1814" w:type="dxa"/>
            <w:tcBorders>
              <w:top w:val="nil"/>
              <w:left w:val="outset" w:color="auto" w:sz="6" w:space="0"/>
              <w:bottom w:val="outset" w:color="auto" w:sz="6" w:space="0"/>
              <w:right w:val="outset" w:color="auto" w:sz="6" w:space="0"/>
            </w:tcBorders>
          </w:tcPr>
          <w:p w14:paraId="2480DB85">
            <w:pPr>
              <w:spacing w:after="160" w:line="259" w:lineRule="auto"/>
              <w:rPr>
                <w:rFonts w:hint="default"/>
                <w:lang w:val="pt-BR"/>
              </w:rPr>
            </w:pPr>
            <w:r>
              <w:rPr>
                <w:rFonts w:hint="default"/>
                <w:lang w:val="pt-BR"/>
              </w:rPr>
              <w:t>Indicador</w:t>
            </w:r>
          </w:p>
        </w:tc>
        <w:tc>
          <w:tcPr>
            <w:tcW w:w="1363" w:type="dxa"/>
            <w:tcBorders>
              <w:top w:val="nil"/>
              <w:left w:val="outset" w:color="auto" w:sz="6" w:space="0"/>
              <w:bottom w:val="outset" w:color="auto" w:sz="6" w:space="0"/>
              <w:right w:val="outset" w:color="auto" w:sz="6" w:space="0"/>
            </w:tcBorders>
          </w:tcPr>
          <w:p w14:paraId="36C8ABA3">
            <w:pPr>
              <w:spacing w:after="160" w:line="259" w:lineRule="auto"/>
            </w:pPr>
            <w:r>
              <w:rPr>
                <w:rFonts w:hint="default"/>
                <w:lang w:val="pt-BR"/>
              </w:rPr>
              <w:t>29,4</w:t>
            </w:r>
            <w:r>
              <w:t>%</w:t>
            </w:r>
          </w:p>
        </w:tc>
        <w:tc>
          <w:tcPr>
            <w:tcW w:w="959" w:type="dxa"/>
            <w:tcBorders>
              <w:top w:val="nil"/>
              <w:left w:val="outset" w:color="auto" w:sz="6" w:space="0"/>
              <w:bottom w:val="outset" w:color="auto" w:sz="6" w:space="0"/>
              <w:right w:val="outset" w:color="auto" w:sz="6" w:space="0"/>
            </w:tcBorders>
            <w:shd w:val="clear" w:color="auto" w:fill="F1F1F1"/>
          </w:tcPr>
          <w:p w14:paraId="44671A55">
            <w:pPr>
              <w:spacing w:after="160" w:line="259" w:lineRule="auto"/>
            </w:pPr>
            <w:r>
              <w:t>*</w:t>
            </w:r>
          </w:p>
        </w:tc>
        <w:tc>
          <w:tcPr>
            <w:tcW w:w="1114" w:type="dxa"/>
            <w:tcBorders>
              <w:top w:val="nil"/>
              <w:left w:val="outset" w:color="auto" w:sz="6" w:space="0"/>
              <w:bottom w:val="outset" w:color="auto" w:sz="6" w:space="0"/>
              <w:right w:val="outset" w:color="auto" w:sz="6" w:space="0"/>
            </w:tcBorders>
            <w:shd w:val="clear" w:color="auto" w:fill="F1F1F1"/>
          </w:tcPr>
          <w:p w14:paraId="34CCCAD7">
            <w:pPr>
              <w:spacing w:after="160" w:line="259" w:lineRule="auto"/>
            </w:pPr>
            <w:r>
              <w:t>*</w:t>
            </w:r>
          </w:p>
        </w:tc>
        <w:tc>
          <w:tcPr>
            <w:tcW w:w="1114" w:type="dxa"/>
            <w:gridSpan w:val="2"/>
            <w:tcBorders>
              <w:top w:val="nil"/>
              <w:left w:val="outset" w:color="auto" w:sz="6" w:space="0"/>
              <w:bottom w:val="outset" w:color="auto" w:sz="6" w:space="0"/>
              <w:right w:val="outset" w:color="auto" w:sz="6" w:space="0"/>
            </w:tcBorders>
            <w:shd w:val="clear" w:color="auto" w:fill="F1F1F1"/>
          </w:tcPr>
          <w:p w14:paraId="42175117">
            <w:pPr>
              <w:spacing w:after="160" w:line="259" w:lineRule="auto"/>
              <w:rPr>
                <w:rFonts w:hint="default"/>
                <w:lang w:val="pt-BR"/>
              </w:rPr>
            </w:pPr>
            <w:r>
              <w:rPr>
                <w:rFonts w:hint="default"/>
                <w:lang w:val="pt-BR"/>
              </w:rPr>
              <w:t>*</w:t>
            </w:r>
          </w:p>
        </w:tc>
      </w:tr>
      <w:tr w14:paraId="18C6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7"/>
          </w:tcPr>
          <w:p w14:paraId="2795BC64">
            <w:pPr>
              <w:rPr>
                <w:rFonts w:hint="default"/>
                <w:b/>
                <w:vertAlign w:val="baseline"/>
                <w:lang w:val="pt-BR"/>
              </w:rPr>
            </w:pPr>
            <w:r>
              <w:rPr>
                <w:rFonts w:hint="default"/>
                <w:b/>
                <w:vertAlign w:val="baseline"/>
                <w:lang w:val="pt-BR"/>
              </w:rPr>
              <w:t>Fonte: INEP - Censo Escolar Educação Básica</w:t>
            </w:r>
          </w:p>
        </w:tc>
      </w:tr>
    </w:tbl>
    <w:p w14:paraId="26036FC2">
      <w:pPr>
        <w:ind w:firstLine="708" w:firstLineChars="0"/>
        <w:rPr>
          <w:bCs/>
        </w:rPr>
      </w:pPr>
      <w:r>
        <w:t>A Escola Professora Marlene Aguiar de Souza, possui duas salas de Recursos Multifuncionais</w:t>
      </w:r>
      <w:r>
        <w:rPr>
          <w:rFonts w:hint="default"/>
          <w:lang w:val="pt-BR"/>
        </w:rPr>
        <w:t xml:space="preserve"> e uma sala de Recursos Multifuincionais -</w:t>
      </w:r>
      <w:r>
        <w:t xml:space="preserve"> DV para a oferta do ensino e aprendizagem aos alunos </w:t>
      </w:r>
      <w:r>
        <w:rPr>
          <w:bCs/>
        </w:rPr>
        <w:t>com Deficiência Visual e Transtornos Globais do Desenvolvimento.</w:t>
      </w:r>
    </w:p>
    <w:p w14:paraId="58BAEBF4">
      <w:pPr>
        <w:ind w:firstLine="708" w:firstLineChars="0"/>
        <w:jc w:val="both"/>
        <w:rPr>
          <w:bCs/>
        </w:rPr>
      </w:pPr>
      <w:r>
        <w:rPr>
          <w:bCs/>
        </w:rPr>
        <w:t>Os profissionais (professores e auxiliares) receberam capacitação para o atendimento com alunos com deficiência através do Centro de Apoio Pedagógico de Atendimento à Pessoa com Deficiência – CAP.</w:t>
      </w:r>
    </w:p>
    <w:p w14:paraId="4259D146">
      <w:pPr>
        <w:ind w:firstLine="708" w:firstLineChars="0"/>
        <w:jc w:val="both"/>
        <w:rPr>
          <w:bCs/>
        </w:rPr>
      </w:pPr>
      <w:r>
        <w:rPr>
          <w:bCs/>
        </w:rPr>
        <w:t>No ano (2020) foi adquirido uma máquina braile para atender alunos com deficiência visual.</w:t>
      </w:r>
    </w:p>
    <w:p w14:paraId="321C5B88">
      <w:pPr>
        <w:ind w:firstLine="708" w:firstLineChars="0"/>
        <w:jc w:val="both"/>
        <w:rPr>
          <w:bCs/>
        </w:rPr>
      </w:pP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5"/>
        <w:gridCol w:w="7231"/>
      </w:tblGrid>
      <w:tr w14:paraId="7F9C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2630B74B">
            <w:pPr>
              <w:pStyle w:val="16"/>
              <w:numPr>
                <w:ilvl w:val="0"/>
                <w:numId w:val="0"/>
              </w:numPr>
              <w:jc w:val="center"/>
              <w:rPr>
                <w:rFonts w:hint="default"/>
                <w:b/>
                <w:vertAlign w:val="baseline"/>
                <w:lang w:val="pt-BR"/>
              </w:rPr>
            </w:pPr>
            <w:r>
              <w:rPr>
                <w:rFonts w:hint="default"/>
                <w:b/>
                <w:vertAlign w:val="baseline"/>
                <w:lang w:val="pt-BR"/>
              </w:rPr>
              <w:t>Ficha metodológica para o indicador 5A</w:t>
            </w:r>
            <w:r>
              <w:rPr>
                <w:rFonts w:hint="default"/>
                <w:b/>
                <w:bCs w:val="0"/>
                <w:vertAlign w:val="baseline"/>
                <w:lang w:val="pt-BR"/>
              </w:rPr>
              <w:t xml:space="preserve"> </w:t>
            </w:r>
            <w:r>
              <w:rPr>
                <w:rFonts w:hint="default"/>
                <w:b/>
                <w:vertAlign w:val="baseline"/>
                <w:lang w:val="pt-BR"/>
              </w:rPr>
              <w:t>- base PNE</w:t>
            </w:r>
          </w:p>
        </w:tc>
      </w:tr>
      <w:tr w14:paraId="12F2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05" w:type="dxa"/>
            <w:tcBorders>
              <w:top w:val="outset" w:color="auto" w:sz="6" w:space="0"/>
              <w:left w:val="outset" w:color="auto" w:sz="6" w:space="0"/>
              <w:bottom w:val="outset" w:color="auto" w:sz="6" w:space="0"/>
              <w:right w:val="outset" w:color="auto" w:sz="6" w:space="0"/>
            </w:tcBorders>
          </w:tcPr>
          <w:p w14:paraId="2F7BE65F">
            <w:pPr>
              <w:rPr>
                <w:b/>
              </w:rPr>
            </w:pPr>
            <w:r>
              <w:t xml:space="preserve"> </w:t>
            </w:r>
            <w:r>
              <w:rPr>
                <w:b/>
              </w:rPr>
              <w:t>Meta</w:t>
            </w:r>
          </w:p>
        </w:tc>
        <w:tc>
          <w:tcPr>
            <w:tcW w:w="7231" w:type="dxa"/>
            <w:tcBorders>
              <w:top w:val="outset" w:color="auto" w:sz="6" w:space="0"/>
              <w:left w:val="outset" w:color="auto" w:sz="6" w:space="0"/>
              <w:bottom w:val="outset" w:color="auto" w:sz="6" w:space="0"/>
              <w:right w:val="outset" w:color="auto" w:sz="6" w:space="0"/>
            </w:tcBorders>
          </w:tcPr>
          <w:p w14:paraId="75799047">
            <w:pPr>
              <w:spacing w:after="160" w:line="259" w:lineRule="auto"/>
              <w:rPr>
                <w:b/>
              </w:rPr>
            </w:pPr>
            <w:r>
              <w:rPr>
                <w:b/>
              </w:rPr>
              <w:t>Texto da meta</w:t>
            </w:r>
          </w:p>
        </w:tc>
      </w:tr>
      <w:tr w14:paraId="4F58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05" w:type="dxa"/>
            <w:tcBorders>
              <w:top w:val="nil"/>
              <w:left w:val="outset" w:color="auto" w:sz="6" w:space="0"/>
              <w:bottom w:val="outset" w:color="auto" w:sz="6" w:space="0"/>
              <w:right w:val="outset" w:color="auto" w:sz="6" w:space="0"/>
            </w:tcBorders>
          </w:tcPr>
          <w:p w14:paraId="73856D7F">
            <w:pPr>
              <w:spacing w:after="160" w:line="259" w:lineRule="auto"/>
            </w:pPr>
            <w:r>
              <w:t>5</w:t>
            </w:r>
          </w:p>
        </w:tc>
        <w:tc>
          <w:tcPr>
            <w:tcW w:w="7231" w:type="dxa"/>
            <w:tcBorders>
              <w:top w:val="nil"/>
              <w:left w:val="outset" w:color="auto" w:sz="6" w:space="0"/>
              <w:bottom w:val="outset" w:color="auto" w:sz="6" w:space="0"/>
              <w:right w:val="outset" w:color="auto" w:sz="6" w:space="0"/>
            </w:tcBorders>
          </w:tcPr>
          <w:p w14:paraId="61556570">
            <w:pPr>
              <w:spacing w:after="160" w:line="259" w:lineRule="auto"/>
              <w:jc w:val="both"/>
              <w:rPr>
                <w:rFonts w:hint="default"/>
                <w:i/>
                <w:lang w:val="pt-BR"/>
              </w:rPr>
            </w:pPr>
            <w:r>
              <w:rPr>
                <w:bCs/>
              </w:rPr>
              <w:t>Alfabetizar todas as crianças até, no máximo, os oito anos de idade</w:t>
            </w:r>
            <w:r>
              <w:rPr>
                <w:rFonts w:hint="default"/>
                <w:bCs/>
                <w:lang w:val="pt-BR"/>
              </w:rPr>
              <w:t>.</w:t>
            </w:r>
          </w:p>
        </w:tc>
      </w:tr>
      <w:tr w14:paraId="15F5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05" w:type="dxa"/>
            <w:tcBorders>
              <w:top w:val="outset" w:color="auto" w:sz="6" w:space="0"/>
              <w:left w:val="outset" w:color="auto" w:sz="6" w:space="0"/>
              <w:bottom w:val="outset" w:color="auto" w:sz="6" w:space="0"/>
              <w:right w:val="outset" w:color="auto" w:sz="6" w:space="0"/>
            </w:tcBorders>
          </w:tcPr>
          <w:p w14:paraId="37D70B0D">
            <w:pPr>
              <w:spacing w:after="160" w:line="259" w:lineRule="auto"/>
              <w:rPr>
                <w:rFonts w:hint="default"/>
                <w:lang w:val="pt-BR"/>
              </w:rPr>
            </w:pPr>
            <w:r>
              <w:t xml:space="preserve">Indicador </w:t>
            </w:r>
            <w:r>
              <w:rPr>
                <w:rFonts w:hint="default"/>
                <w:lang w:val="pt-BR"/>
              </w:rPr>
              <w:t>5A Nacional</w:t>
            </w:r>
          </w:p>
        </w:tc>
        <w:tc>
          <w:tcPr>
            <w:tcW w:w="7231" w:type="dxa"/>
            <w:tcBorders>
              <w:top w:val="outset" w:color="auto" w:sz="6" w:space="0"/>
              <w:left w:val="outset" w:color="auto" w:sz="6" w:space="0"/>
              <w:bottom w:val="outset" w:color="auto" w:sz="6" w:space="0"/>
              <w:right w:val="outset" w:color="auto" w:sz="6" w:space="0"/>
            </w:tcBorders>
          </w:tcPr>
          <w:p w14:paraId="6BE92180">
            <w:pPr>
              <w:spacing w:after="160" w:line="259" w:lineRule="auto"/>
              <w:jc w:val="both"/>
              <w:rPr>
                <w:rFonts w:hint="default"/>
                <w:lang w:val="pt-BR"/>
              </w:rPr>
            </w:pPr>
            <w:r>
              <w:t>Proficiência dos alunos do 3º ano do Ensino Fundamental em Leitura – Replica do Nacional</w:t>
            </w:r>
            <w:r>
              <w:rPr>
                <w:rFonts w:hint="default"/>
                <w:lang w:val="pt-BR"/>
              </w:rPr>
              <w:t>.</w:t>
            </w:r>
          </w:p>
        </w:tc>
      </w:tr>
      <w:tr w14:paraId="4FE1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05" w:type="dxa"/>
            <w:tcBorders>
              <w:top w:val="outset" w:color="auto" w:sz="6" w:space="0"/>
              <w:left w:val="outset" w:color="auto" w:sz="6" w:space="0"/>
              <w:bottom w:val="outset" w:color="auto" w:sz="6" w:space="0"/>
              <w:right w:val="outset" w:color="auto" w:sz="6" w:space="0"/>
            </w:tcBorders>
          </w:tcPr>
          <w:p w14:paraId="6B3D093F">
            <w:pPr>
              <w:spacing w:after="160" w:line="259" w:lineRule="auto"/>
              <w:rPr>
                <w:rFonts w:hint="default"/>
                <w:lang w:val="pt-BR"/>
              </w:rPr>
            </w:pPr>
            <w:r>
              <w:rPr>
                <w:rFonts w:hint="default"/>
                <w:lang w:val="pt-BR"/>
              </w:rPr>
              <w:t>Indicador 5A Proposto</w:t>
            </w:r>
          </w:p>
        </w:tc>
        <w:tc>
          <w:tcPr>
            <w:tcW w:w="7231" w:type="dxa"/>
            <w:tcBorders>
              <w:top w:val="outset" w:color="auto" w:sz="6" w:space="0"/>
              <w:left w:val="outset" w:color="auto" w:sz="6" w:space="0"/>
              <w:bottom w:val="outset" w:color="auto" w:sz="6" w:space="0"/>
              <w:right w:val="outset" w:color="auto" w:sz="6" w:space="0"/>
            </w:tcBorders>
          </w:tcPr>
          <w:p w14:paraId="03168D05">
            <w:pPr>
              <w:spacing w:after="160" w:line="259" w:lineRule="auto"/>
              <w:jc w:val="both"/>
              <w:rPr>
                <w:rFonts w:hint="default"/>
                <w:lang w:val="pt-BR"/>
              </w:rPr>
            </w:pPr>
            <w:r>
              <w:rPr>
                <w:rFonts w:hint="default"/>
                <w:lang w:val="pt-BR"/>
              </w:rPr>
              <w:t>Replicar o Nacional.</w:t>
            </w:r>
          </w:p>
        </w:tc>
      </w:tr>
      <w:tr w14:paraId="4271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05" w:type="dxa"/>
            <w:tcBorders>
              <w:top w:val="nil"/>
              <w:left w:val="outset" w:color="auto" w:sz="6" w:space="0"/>
              <w:bottom w:val="outset" w:color="auto" w:sz="6" w:space="0"/>
              <w:right w:val="outset" w:color="auto" w:sz="6" w:space="0"/>
            </w:tcBorders>
          </w:tcPr>
          <w:p w14:paraId="0D9D0557">
            <w:pPr>
              <w:spacing w:after="160" w:line="259" w:lineRule="auto"/>
            </w:pPr>
            <w:r>
              <w:t>Fórmula de cálculo</w:t>
            </w:r>
          </w:p>
        </w:tc>
        <w:tc>
          <w:tcPr>
            <w:tcW w:w="7231"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240"/>
              <w:gridCol w:w="6961"/>
            </w:tblGrid>
            <w:tr w14:paraId="1DAF4A9F">
              <w:tblPrEx>
                <w:tblCellMar>
                  <w:top w:w="15" w:type="dxa"/>
                  <w:left w:w="15" w:type="dxa"/>
                  <w:bottom w:w="15" w:type="dxa"/>
                  <w:right w:w="15" w:type="dxa"/>
                </w:tblCellMar>
              </w:tblPrEx>
              <w:tc>
                <w:tcPr>
                  <w:tcW w:w="240" w:type="dxa"/>
                  <w:tcBorders>
                    <w:top w:val="nil"/>
                    <w:left w:val="nil"/>
                    <w:bottom w:val="nil"/>
                    <w:right w:val="nil"/>
                  </w:tcBorders>
                </w:tcPr>
                <w:p w14:paraId="09F8D751">
                  <w:pPr>
                    <w:jc w:val="both"/>
                  </w:pPr>
                </w:p>
                <w:p w14:paraId="2DD29310">
                  <w:pPr>
                    <w:jc w:val="both"/>
                  </w:pPr>
                </w:p>
              </w:tc>
              <w:tc>
                <w:tcPr>
                  <w:tcW w:w="6961" w:type="dxa"/>
                  <w:tcBorders>
                    <w:top w:val="nil"/>
                    <w:left w:val="nil"/>
                    <w:bottom w:val="nil"/>
                    <w:right w:val="nil"/>
                  </w:tcBorders>
                </w:tcPr>
                <w:p w14:paraId="0F78A649">
                  <w:pPr>
                    <w:jc w:val="both"/>
                  </w:pPr>
                  <w:r>
                    <w:t>Os resultados da ANA são apresentados em percentuais de estudantes em cada escala de proficiência.</w:t>
                  </w:r>
                </w:p>
              </w:tc>
            </w:tr>
          </w:tbl>
          <w:p w14:paraId="01659636">
            <w:pPr>
              <w:spacing w:after="160" w:line="259" w:lineRule="auto"/>
              <w:jc w:val="both"/>
            </w:pPr>
          </w:p>
        </w:tc>
      </w:tr>
      <w:tr w14:paraId="5E94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05" w:type="dxa"/>
            <w:tcBorders>
              <w:top w:val="nil"/>
              <w:left w:val="outset" w:color="auto" w:sz="6" w:space="0"/>
              <w:bottom w:val="outset" w:color="auto" w:sz="6" w:space="0"/>
              <w:right w:val="outset" w:color="auto" w:sz="6" w:space="0"/>
            </w:tcBorders>
          </w:tcPr>
          <w:p w14:paraId="6B567096">
            <w:pPr>
              <w:spacing w:after="160" w:line="259" w:lineRule="auto"/>
            </w:pPr>
            <w:r>
              <w:t>Comentário</w:t>
            </w:r>
          </w:p>
        </w:tc>
        <w:tc>
          <w:tcPr>
            <w:tcW w:w="7231" w:type="dxa"/>
            <w:tcBorders>
              <w:top w:val="nil"/>
              <w:left w:val="outset" w:color="auto" w:sz="6" w:space="0"/>
              <w:bottom w:val="outset" w:color="auto" w:sz="6" w:space="0"/>
              <w:right w:val="outset" w:color="auto" w:sz="6" w:space="0"/>
            </w:tcBorders>
          </w:tcPr>
          <w:p w14:paraId="3B887E31">
            <w:pPr>
              <w:spacing w:after="160" w:line="259" w:lineRule="auto"/>
              <w:jc w:val="both"/>
              <w:rPr>
                <w:b/>
              </w:rPr>
            </w:pPr>
            <w:r>
              <w:t xml:space="preserve">Calculado conforme Relatório do 3º Ciclo de Monitoramento das Metas do Plano Nacional de Educação - </w:t>
            </w:r>
            <w:r>
              <w:rPr>
                <w:b/>
              </w:rPr>
              <w:t>2020</w:t>
            </w:r>
            <w:r>
              <w:t xml:space="preserve"> </w:t>
            </w:r>
            <w:r>
              <w:rPr>
                <w:b/>
              </w:rPr>
              <w:t>(INEP). PORÉM, A PARTIR DE 2022, O INEP ADOTOU OUTRO INSTRUMENTO E FONTE DE DADOS: A AVALIAÇÃO DO 2º ANO DO ENSINO FUNDAMENTAL (SAEB) 2019, AMOSTRAL, SEM RESULTADO PARA TODOS OS MUNICÍPIOS. DESSA FORMA, PARA OS MUNICÍPIOS, A SÉRIE HISTÓRICA FICA INTERROMPIDA POR FALTA DE DADOS PUBLICADOS.</w:t>
            </w:r>
          </w:p>
        </w:tc>
      </w:tr>
    </w:tbl>
    <w:tbl>
      <w:tblPr>
        <w:tblStyle w:val="3"/>
        <w:tblW w:w="13971" w:type="dxa"/>
        <w:tblInd w:w="0" w:type="dxa"/>
        <w:tblLayout w:type="fixed"/>
        <w:tblCellMar>
          <w:top w:w="15" w:type="dxa"/>
          <w:left w:w="15" w:type="dxa"/>
          <w:bottom w:w="15" w:type="dxa"/>
          <w:right w:w="15" w:type="dxa"/>
        </w:tblCellMar>
      </w:tblPr>
      <w:tblGrid>
        <w:gridCol w:w="13971"/>
      </w:tblGrid>
      <w:tr w14:paraId="6C445006">
        <w:trPr>
          <w:trHeight w:val="1228" w:hRule="atLeast"/>
        </w:trPr>
        <w:tc>
          <w:tcPr>
            <w:tcW w:w="13971" w:type="dxa"/>
            <w:tcBorders>
              <w:top w:val="nil"/>
              <w:left w:val="nil"/>
              <w:bottom w:val="nil"/>
              <w:right w:val="nil"/>
            </w:tcBorders>
          </w:tcPr>
          <w:p w14:paraId="26476BC1">
            <w:pPr>
              <w:rPr>
                <w:b/>
                <w:bCs/>
              </w:rPr>
            </w:pPr>
            <w:r>
              <w:t xml:space="preserve"> </w:t>
            </w:r>
            <w:r>
              <w:rPr>
                <w:rFonts w:hint="default"/>
                <w:b/>
                <w:bCs/>
                <w:lang w:val="pt-BR"/>
              </w:rPr>
              <w:t>Dados/</w:t>
            </w:r>
            <w:r>
              <w:rPr>
                <w:b/>
                <w:bCs/>
              </w:rPr>
              <w:t>Indicador</w:t>
            </w:r>
            <w:r>
              <w:rPr>
                <w:rFonts w:hint="default"/>
                <w:b/>
                <w:bCs/>
                <w:lang w:val="pt-BR"/>
              </w:rPr>
              <w:t>es</w:t>
            </w:r>
            <w:r>
              <w:rPr>
                <w:b/>
                <w:bCs/>
              </w:rPr>
              <w:t>: Indicador 5A</w:t>
            </w:r>
          </w:p>
          <w:p w14:paraId="1A59BD96">
            <w:pPr>
              <w:rPr>
                <w:b/>
                <w:bCs/>
              </w:rPr>
            </w:pPr>
          </w:p>
          <w:p w14:paraId="19D8C4C8">
            <w:pPr>
              <w:rPr>
                <w:b/>
                <w:bCs/>
              </w:rPr>
            </w:pPr>
            <w:r>
              <w:rPr>
                <w:rFonts w:hint="default"/>
                <w:b/>
                <w:bCs/>
                <w:lang w:val="pt-BR"/>
              </w:rPr>
              <w:t>D</w:t>
            </w:r>
            <w:r>
              <w:rPr>
                <w:b/>
                <w:bCs/>
                <w:lang w:val="pt-BR"/>
              </w:rPr>
              <w:t>istribuição</w:t>
            </w:r>
            <w:r>
              <w:rPr>
                <w:b/>
                <w:bCs/>
              </w:rPr>
              <w:t xml:space="preserve"> percentual dos estudantes do 3º ano do Ensino Fundamental nos níveis de proficiência em leitura na ANA</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415"/>
              <w:gridCol w:w="2415"/>
              <w:gridCol w:w="2430"/>
              <w:gridCol w:w="2430"/>
              <w:gridCol w:w="2430"/>
            </w:tblGrid>
            <w:tr w14:paraId="78FF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5" w:type="dxa"/>
                  <w:tcBorders>
                    <w:top w:val="nil"/>
                    <w:left w:val="nil"/>
                    <w:bottom w:val="outset" w:color="auto" w:sz="6" w:space="0"/>
                    <w:right w:val="outset" w:color="auto" w:sz="6" w:space="0"/>
                  </w:tcBorders>
                </w:tcPr>
                <w:p w14:paraId="35151058">
                  <w:r>
                    <w:t>Fonte: Avaliação Nacional de Alfabetização - ANA</w:t>
                  </w:r>
                </w:p>
              </w:tc>
              <w:tc>
                <w:tcPr>
                  <w:tcW w:w="2415" w:type="dxa"/>
                  <w:tcBorders>
                    <w:top w:val="outset" w:color="auto" w:sz="6" w:space="0"/>
                    <w:left w:val="outset" w:color="auto" w:sz="6" w:space="0"/>
                    <w:bottom w:val="outset" w:color="auto" w:sz="6" w:space="0"/>
                    <w:right w:val="outset" w:color="auto" w:sz="6" w:space="0"/>
                  </w:tcBorders>
                </w:tcPr>
                <w:p w14:paraId="28ABCDF6">
                  <w:pPr>
                    <w:spacing w:after="160" w:line="259" w:lineRule="auto"/>
                  </w:pPr>
                  <w:r>
                    <w:rPr>
                      <w:b/>
                      <w:bCs/>
                    </w:rPr>
                    <w:t>Nível 1</w:t>
                  </w:r>
                </w:p>
              </w:tc>
              <w:tc>
                <w:tcPr>
                  <w:tcW w:w="2430" w:type="dxa"/>
                  <w:tcBorders>
                    <w:top w:val="outset" w:color="auto" w:sz="6" w:space="0"/>
                    <w:left w:val="outset" w:color="auto" w:sz="6" w:space="0"/>
                    <w:bottom w:val="outset" w:color="auto" w:sz="6" w:space="0"/>
                    <w:right w:val="outset" w:color="auto" w:sz="6" w:space="0"/>
                  </w:tcBorders>
                </w:tcPr>
                <w:p w14:paraId="51366B49">
                  <w:pPr>
                    <w:spacing w:after="160" w:line="259" w:lineRule="auto"/>
                  </w:pPr>
                  <w:r>
                    <w:rPr>
                      <w:b/>
                      <w:bCs/>
                    </w:rPr>
                    <w:t>Nível 2</w:t>
                  </w:r>
                </w:p>
              </w:tc>
              <w:tc>
                <w:tcPr>
                  <w:tcW w:w="2430" w:type="dxa"/>
                  <w:tcBorders>
                    <w:top w:val="outset" w:color="auto" w:sz="6" w:space="0"/>
                    <w:left w:val="outset" w:color="auto" w:sz="6" w:space="0"/>
                    <w:bottom w:val="outset" w:color="auto" w:sz="6" w:space="0"/>
                    <w:right w:val="outset" w:color="auto" w:sz="6" w:space="0"/>
                  </w:tcBorders>
                </w:tcPr>
                <w:p w14:paraId="1EC22F1F">
                  <w:pPr>
                    <w:spacing w:after="160" w:line="259" w:lineRule="auto"/>
                  </w:pPr>
                  <w:r>
                    <w:rPr>
                      <w:b/>
                      <w:bCs/>
                    </w:rPr>
                    <w:t>Nível 3</w:t>
                  </w:r>
                </w:p>
              </w:tc>
              <w:tc>
                <w:tcPr>
                  <w:tcW w:w="2430" w:type="dxa"/>
                  <w:tcBorders>
                    <w:top w:val="outset" w:color="auto" w:sz="6" w:space="0"/>
                    <w:left w:val="outset" w:color="auto" w:sz="6" w:space="0"/>
                    <w:bottom w:val="outset" w:color="auto" w:sz="6" w:space="0"/>
                    <w:right w:val="outset" w:color="auto" w:sz="6" w:space="0"/>
                  </w:tcBorders>
                </w:tcPr>
                <w:p w14:paraId="012A7F35">
                  <w:pPr>
                    <w:spacing w:after="160" w:line="259" w:lineRule="auto"/>
                  </w:pPr>
                  <w:r>
                    <w:rPr>
                      <w:b/>
                      <w:bCs/>
                    </w:rPr>
                    <w:t>Nível 4</w:t>
                  </w:r>
                </w:p>
              </w:tc>
            </w:tr>
            <w:tr w14:paraId="197F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15" w:type="dxa"/>
                  <w:tcBorders>
                    <w:top w:val="nil"/>
                    <w:left w:val="outset" w:color="auto" w:sz="6" w:space="0"/>
                    <w:bottom w:val="outset" w:color="auto" w:sz="6" w:space="0"/>
                    <w:right w:val="outset" w:color="auto" w:sz="6" w:space="0"/>
                  </w:tcBorders>
                </w:tcPr>
                <w:p w14:paraId="24E2C2F0">
                  <w:pPr>
                    <w:spacing w:after="160" w:line="259" w:lineRule="auto"/>
                  </w:pPr>
                  <w:r>
                    <w:t>2014</w:t>
                  </w:r>
                </w:p>
              </w:tc>
              <w:tc>
                <w:tcPr>
                  <w:tcW w:w="2415" w:type="dxa"/>
                  <w:tcBorders>
                    <w:top w:val="nil"/>
                    <w:left w:val="outset" w:color="auto" w:sz="6" w:space="0"/>
                    <w:bottom w:val="outset" w:color="auto" w:sz="6" w:space="0"/>
                    <w:right w:val="outset" w:color="auto" w:sz="6" w:space="0"/>
                  </w:tcBorders>
                </w:tcPr>
                <w:p w14:paraId="6F2A137C">
                  <w:pPr>
                    <w:spacing w:after="160" w:line="259" w:lineRule="auto"/>
                  </w:pPr>
                  <w:r>
                    <w:t>3,0%</w:t>
                  </w:r>
                </w:p>
              </w:tc>
              <w:tc>
                <w:tcPr>
                  <w:tcW w:w="2430" w:type="dxa"/>
                  <w:tcBorders>
                    <w:top w:val="nil"/>
                    <w:left w:val="outset" w:color="auto" w:sz="6" w:space="0"/>
                    <w:bottom w:val="outset" w:color="auto" w:sz="6" w:space="0"/>
                    <w:right w:val="outset" w:color="auto" w:sz="6" w:space="0"/>
                  </w:tcBorders>
                </w:tcPr>
                <w:p w14:paraId="798390D0">
                  <w:pPr>
                    <w:spacing w:after="160" w:line="259" w:lineRule="auto"/>
                  </w:pPr>
                  <w:r>
                    <w:t>28,4%</w:t>
                  </w:r>
                </w:p>
              </w:tc>
              <w:tc>
                <w:tcPr>
                  <w:tcW w:w="2430" w:type="dxa"/>
                  <w:tcBorders>
                    <w:top w:val="nil"/>
                    <w:left w:val="outset" w:color="auto" w:sz="6" w:space="0"/>
                    <w:bottom w:val="outset" w:color="auto" w:sz="6" w:space="0"/>
                    <w:right w:val="outset" w:color="auto" w:sz="6" w:space="0"/>
                  </w:tcBorders>
                </w:tcPr>
                <w:p w14:paraId="297AC436">
                  <w:pPr>
                    <w:spacing w:after="160" w:line="259" w:lineRule="auto"/>
                  </w:pPr>
                  <w:r>
                    <w:t>43,3%</w:t>
                  </w:r>
                </w:p>
              </w:tc>
              <w:tc>
                <w:tcPr>
                  <w:tcW w:w="2430" w:type="dxa"/>
                  <w:tcBorders>
                    <w:top w:val="nil"/>
                    <w:left w:val="outset" w:color="auto" w:sz="6" w:space="0"/>
                    <w:bottom w:val="outset" w:color="auto" w:sz="6" w:space="0"/>
                    <w:right w:val="outset" w:color="auto" w:sz="6" w:space="0"/>
                  </w:tcBorders>
                </w:tcPr>
                <w:p w14:paraId="3C8DCEDB">
                  <w:pPr>
                    <w:spacing w:after="160" w:line="259" w:lineRule="auto"/>
                  </w:pPr>
                  <w:r>
                    <w:t>25,4%</w:t>
                  </w:r>
                </w:p>
              </w:tc>
            </w:tr>
            <w:tr w14:paraId="13CB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15" w:type="dxa"/>
                  <w:tcBorders>
                    <w:top w:val="nil"/>
                    <w:left w:val="outset" w:color="auto" w:sz="6" w:space="0"/>
                    <w:bottom w:val="nil"/>
                    <w:right w:val="outset" w:color="auto" w:sz="6" w:space="0"/>
                  </w:tcBorders>
                </w:tcPr>
                <w:p w14:paraId="520A4933">
                  <w:pPr>
                    <w:spacing w:after="160" w:line="259" w:lineRule="auto"/>
                  </w:pPr>
                  <w:r>
                    <w:t>2016</w:t>
                  </w:r>
                </w:p>
              </w:tc>
              <w:tc>
                <w:tcPr>
                  <w:tcW w:w="2415" w:type="dxa"/>
                  <w:tcBorders>
                    <w:top w:val="nil"/>
                    <w:left w:val="outset" w:color="auto" w:sz="6" w:space="0"/>
                    <w:bottom w:val="nil"/>
                    <w:right w:val="outset" w:color="auto" w:sz="6" w:space="0"/>
                  </w:tcBorders>
                </w:tcPr>
                <w:p w14:paraId="13588560">
                  <w:pPr>
                    <w:spacing w:after="160" w:line="259" w:lineRule="auto"/>
                  </w:pPr>
                  <w:r>
                    <w:t>2,3%</w:t>
                  </w:r>
                </w:p>
              </w:tc>
              <w:tc>
                <w:tcPr>
                  <w:tcW w:w="2430" w:type="dxa"/>
                  <w:tcBorders>
                    <w:top w:val="nil"/>
                    <w:left w:val="outset" w:color="auto" w:sz="6" w:space="0"/>
                    <w:bottom w:val="nil"/>
                    <w:right w:val="outset" w:color="auto" w:sz="6" w:space="0"/>
                  </w:tcBorders>
                </w:tcPr>
                <w:p w14:paraId="7D8301E8">
                  <w:pPr>
                    <w:spacing w:after="160" w:line="259" w:lineRule="auto"/>
                  </w:pPr>
                  <w:r>
                    <w:t>28,4%</w:t>
                  </w:r>
                </w:p>
              </w:tc>
              <w:tc>
                <w:tcPr>
                  <w:tcW w:w="2430" w:type="dxa"/>
                  <w:tcBorders>
                    <w:top w:val="nil"/>
                    <w:left w:val="outset" w:color="auto" w:sz="6" w:space="0"/>
                    <w:bottom w:val="nil"/>
                    <w:right w:val="outset" w:color="auto" w:sz="6" w:space="0"/>
                  </w:tcBorders>
                </w:tcPr>
                <w:p w14:paraId="3A3FF341">
                  <w:pPr>
                    <w:spacing w:after="160" w:line="259" w:lineRule="auto"/>
                  </w:pPr>
                  <w:r>
                    <w:t>45,5%</w:t>
                  </w:r>
                </w:p>
              </w:tc>
              <w:tc>
                <w:tcPr>
                  <w:tcW w:w="2430" w:type="dxa"/>
                  <w:tcBorders>
                    <w:top w:val="nil"/>
                    <w:left w:val="outset" w:color="auto" w:sz="6" w:space="0"/>
                    <w:bottom w:val="nil"/>
                    <w:right w:val="outset" w:color="auto" w:sz="6" w:space="0"/>
                  </w:tcBorders>
                </w:tcPr>
                <w:p w14:paraId="2781653C">
                  <w:pPr>
                    <w:spacing w:after="160" w:line="259" w:lineRule="auto"/>
                  </w:pPr>
                  <w:r>
                    <w:t>23,9%</w:t>
                  </w:r>
                </w:p>
              </w:tc>
            </w:tr>
            <w:tr w14:paraId="1DC4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15" w:type="dxa"/>
                  <w:tcBorders>
                    <w:top w:val="nil"/>
                    <w:left w:val="outset" w:color="auto" w:sz="6" w:space="0"/>
                    <w:bottom w:val="nil"/>
                    <w:right w:val="outset" w:color="auto" w:sz="6" w:space="0"/>
                  </w:tcBorders>
                </w:tcPr>
                <w:p w14:paraId="135584FF">
                  <w:pPr>
                    <w:spacing w:after="160" w:line="259" w:lineRule="auto"/>
                    <w:rPr>
                      <w:rFonts w:hint="default"/>
                      <w:lang w:val="pt-BR"/>
                    </w:rPr>
                  </w:pPr>
                  <w:r>
                    <w:rPr>
                      <w:rFonts w:hint="default"/>
                      <w:lang w:val="pt-BR"/>
                    </w:rPr>
                    <w:t>2023</w:t>
                  </w:r>
                </w:p>
              </w:tc>
              <w:tc>
                <w:tcPr>
                  <w:tcW w:w="2415" w:type="dxa"/>
                  <w:tcBorders>
                    <w:top w:val="nil"/>
                    <w:left w:val="outset" w:color="auto" w:sz="6" w:space="0"/>
                    <w:bottom w:val="nil"/>
                    <w:right w:val="outset" w:color="auto" w:sz="6" w:space="0"/>
                  </w:tcBorders>
                </w:tcPr>
                <w:p w14:paraId="5C2B2676">
                  <w:pPr>
                    <w:spacing w:after="160" w:line="259" w:lineRule="auto"/>
                    <w:rPr>
                      <w:rFonts w:hint="default"/>
                      <w:lang w:val="pt-BR"/>
                    </w:rPr>
                  </w:pPr>
                  <w:r>
                    <w:rPr>
                      <w:rFonts w:hint="default"/>
                      <w:lang w:val="pt-BR"/>
                    </w:rPr>
                    <w:t>97,4%</w:t>
                  </w:r>
                </w:p>
              </w:tc>
              <w:tc>
                <w:tcPr>
                  <w:tcW w:w="2430" w:type="dxa"/>
                  <w:tcBorders>
                    <w:top w:val="nil"/>
                    <w:left w:val="outset" w:color="auto" w:sz="6" w:space="0"/>
                    <w:bottom w:val="nil"/>
                    <w:right w:val="outset" w:color="auto" w:sz="6" w:space="0"/>
                  </w:tcBorders>
                </w:tcPr>
                <w:p w14:paraId="4B5B1830">
                  <w:pPr>
                    <w:spacing w:after="160" w:line="259" w:lineRule="auto"/>
                    <w:rPr>
                      <w:rFonts w:hint="default"/>
                      <w:lang w:val="pt-BR"/>
                    </w:rPr>
                  </w:pPr>
                  <w:r>
                    <w:rPr>
                      <w:rFonts w:hint="default"/>
                      <w:lang w:val="pt-BR"/>
                    </w:rPr>
                    <w:t>Fonte : Indicador Criança</w:t>
                  </w:r>
                </w:p>
              </w:tc>
              <w:tc>
                <w:tcPr>
                  <w:tcW w:w="2430" w:type="dxa"/>
                  <w:tcBorders>
                    <w:top w:val="nil"/>
                    <w:left w:val="outset" w:color="auto" w:sz="6" w:space="0"/>
                    <w:bottom w:val="nil"/>
                    <w:right w:val="outset" w:color="auto" w:sz="6" w:space="0"/>
                  </w:tcBorders>
                </w:tcPr>
                <w:p w14:paraId="32383C8B">
                  <w:pPr>
                    <w:spacing w:after="160" w:line="259" w:lineRule="auto"/>
                    <w:rPr>
                      <w:rFonts w:hint="default"/>
                      <w:lang w:val="pt-BR"/>
                    </w:rPr>
                  </w:pPr>
                  <w:r>
                    <w:rPr>
                      <w:rFonts w:hint="default"/>
                      <w:lang w:val="pt-BR"/>
                    </w:rPr>
                    <w:t>Alfabetizada INEP</w:t>
                  </w:r>
                </w:p>
              </w:tc>
              <w:tc>
                <w:tcPr>
                  <w:tcW w:w="2430" w:type="dxa"/>
                  <w:tcBorders>
                    <w:top w:val="nil"/>
                    <w:left w:val="outset" w:color="auto" w:sz="6" w:space="0"/>
                    <w:bottom w:val="nil"/>
                    <w:right w:val="outset" w:color="auto" w:sz="6" w:space="0"/>
                  </w:tcBorders>
                </w:tcPr>
                <w:p w14:paraId="484FAAAB">
                  <w:pPr>
                    <w:spacing w:after="160" w:line="259" w:lineRule="auto"/>
                  </w:pPr>
                </w:p>
              </w:tc>
            </w:tr>
          </w:tbl>
          <w:p w14:paraId="781D5BC8">
            <w:pPr>
              <w:rPr>
                <w:b/>
                <w:bCs/>
              </w:rPr>
            </w:pPr>
          </w:p>
        </w:tc>
      </w:tr>
      <w:tr w14:paraId="7C418FAF">
        <w:tblPrEx>
          <w:tblCellMar>
            <w:top w:w="15" w:type="dxa"/>
            <w:left w:w="15" w:type="dxa"/>
            <w:bottom w:w="15" w:type="dxa"/>
            <w:right w:w="15" w:type="dxa"/>
          </w:tblCellMar>
        </w:tblPrEx>
        <w:trPr>
          <w:trHeight w:val="3639" w:hRule="atLeast"/>
        </w:trPr>
        <w:tc>
          <w:tcPr>
            <w:tcW w:w="13971" w:type="dxa"/>
            <w:tcBorders>
              <w:top w:val="nil"/>
              <w:left w:val="nil"/>
              <w:bottom w:val="nil"/>
              <w:right w:val="nil"/>
            </w:tcBorders>
          </w:tcPr>
          <w:p w14:paraId="4209CD16">
            <w:pPr>
              <w:rPr>
                <w:b/>
                <w:bCs/>
              </w:rPr>
            </w:pPr>
            <w:r>
              <w:rPr>
                <w:b/>
                <w:bCs/>
              </w:rPr>
              <w:t>Distribuição percentual dos estudantes do 3º ano do Ensino Fundamental nos níveis de proficiência em leitura na ANA</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415"/>
              <w:gridCol w:w="2415"/>
              <w:gridCol w:w="2430"/>
              <w:gridCol w:w="2430"/>
              <w:gridCol w:w="2465"/>
            </w:tblGrid>
            <w:tr w14:paraId="70F2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15" w:type="dxa"/>
                  <w:tcBorders>
                    <w:top w:val="nil"/>
                    <w:left w:val="nil"/>
                    <w:bottom w:val="outset" w:color="auto" w:sz="6" w:space="0"/>
                    <w:right w:val="outset" w:color="auto" w:sz="6" w:space="0"/>
                  </w:tcBorders>
                </w:tcPr>
                <w:p w14:paraId="30DFAC10">
                  <w:r>
                    <w:t>Fonte: Avaliação Nacional de Alfabetização - ANA</w:t>
                  </w:r>
                </w:p>
              </w:tc>
              <w:tc>
                <w:tcPr>
                  <w:tcW w:w="2415" w:type="dxa"/>
                  <w:tcBorders>
                    <w:top w:val="outset" w:color="auto" w:sz="6" w:space="0"/>
                    <w:left w:val="outset" w:color="auto" w:sz="6" w:space="0"/>
                    <w:bottom w:val="outset" w:color="auto" w:sz="6" w:space="0"/>
                    <w:right w:val="outset" w:color="auto" w:sz="6" w:space="0"/>
                  </w:tcBorders>
                </w:tcPr>
                <w:p w14:paraId="7377223C">
                  <w:pPr>
                    <w:spacing w:after="160" w:line="259" w:lineRule="auto"/>
                  </w:pPr>
                  <w:r>
                    <w:rPr>
                      <w:b/>
                      <w:bCs/>
                    </w:rPr>
                    <w:t>Nível 1</w:t>
                  </w:r>
                </w:p>
              </w:tc>
              <w:tc>
                <w:tcPr>
                  <w:tcW w:w="2430" w:type="dxa"/>
                  <w:tcBorders>
                    <w:top w:val="outset" w:color="auto" w:sz="6" w:space="0"/>
                    <w:left w:val="outset" w:color="auto" w:sz="6" w:space="0"/>
                    <w:bottom w:val="outset" w:color="auto" w:sz="6" w:space="0"/>
                    <w:right w:val="outset" w:color="auto" w:sz="6" w:space="0"/>
                  </w:tcBorders>
                </w:tcPr>
                <w:p w14:paraId="36FF92C2">
                  <w:pPr>
                    <w:spacing w:after="160" w:line="259" w:lineRule="auto"/>
                  </w:pPr>
                  <w:r>
                    <w:rPr>
                      <w:b/>
                      <w:bCs/>
                    </w:rPr>
                    <w:t>Nível 2</w:t>
                  </w:r>
                </w:p>
              </w:tc>
              <w:tc>
                <w:tcPr>
                  <w:tcW w:w="2430" w:type="dxa"/>
                  <w:tcBorders>
                    <w:top w:val="outset" w:color="auto" w:sz="6" w:space="0"/>
                    <w:left w:val="outset" w:color="auto" w:sz="6" w:space="0"/>
                    <w:bottom w:val="outset" w:color="auto" w:sz="6" w:space="0"/>
                    <w:right w:val="outset" w:color="auto" w:sz="6" w:space="0"/>
                  </w:tcBorders>
                </w:tcPr>
                <w:p w14:paraId="13A586EA">
                  <w:pPr>
                    <w:spacing w:after="160" w:line="259" w:lineRule="auto"/>
                  </w:pPr>
                  <w:r>
                    <w:rPr>
                      <w:b/>
                      <w:bCs/>
                    </w:rPr>
                    <w:t>Nível 3</w:t>
                  </w:r>
                </w:p>
              </w:tc>
              <w:tc>
                <w:tcPr>
                  <w:tcW w:w="2465" w:type="dxa"/>
                  <w:tcBorders>
                    <w:top w:val="outset" w:color="auto" w:sz="6" w:space="0"/>
                    <w:left w:val="outset" w:color="auto" w:sz="6" w:space="0"/>
                    <w:bottom w:val="outset" w:color="auto" w:sz="6" w:space="0"/>
                    <w:right w:val="outset" w:color="auto" w:sz="6" w:space="0"/>
                  </w:tcBorders>
                </w:tcPr>
                <w:p w14:paraId="49DD0E48">
                  <w:pPr>
                    <w:spacing w:after="160" w:line="259" w:lineRule="auto"/>
                  </w:pPr>
                  <w:r>
                    <w:rPr>
                      <w:b/>
                      <w:bCs/>
                    </w:rPr>
                    <w:t>Nível 4</w:t>
                  </w:r>
                </w:p>
              </w:tc>
            </w:tr>
            <w:tr w14:paraId="7721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15" w:type="dxa"/>
                  <w:tcBorders>
                    <w:top w:val="nil"/>
                    <w:left w:val="outset" w:color="auto" w:sz="6" w:space="0"/>
                    <w:bottom w:val="outset" w:color="auto" w:sz="6" w:space="0"/>
                    <w:right w:val="outset" w:color="auto" w:sz="6" w:space="0"/>
                  </w:tcBorders>
                </w:tcPr>
                <w:p w14:paraId="1FBEC71A">
                  <w:pPr>
                    <w:spacing w:after="160" w:line="259" w:lineRule="auto"/>
                  </w:pPr>
                  <w:r>
                    <w:t>2014</w:t>
                  </w:r>
                </w:p>
              </w:tc>
              <w:tc>
                <w:tcPr>
                  <w:tcW w:w="2415" w:type="dxa"/>
                  <w:tcBorders>
                    <w:top w:val="nil"/>
                    <w:left w:val="outset" w:color="auto" w:sz="6" w:space="0"/>
                    <w:bottom w:val="outset" w:color="auto" w:sz="6" w:space="0"/>
                    <w:right w:val="outset" w:color="auto" w:sz="6" w:space="0"/>
                  </w:tcBorders>
                </w:tcPr>
                <w:p w14:paraId="1FCBC6AC">
                  <w:pPr>
                    <w:spacing w:after="160" w:line="259" w:lineRule="auto"/>
                  </w:pPr>
                  <w:r>
                    <w:t>3,0%</w:t>
                  </w:r>
                </w:p>
              </w:tc>
              <w:tc>
                <w:tcPr>
                  <w:tcW w:w="2430" w:type="dxa"/>
                  <w:tcBorders>
                    <w:top w:val="nil"/>
                    <w:left w:val="outset" w:color="auto" w:sz="6" w:space="0"/>
                    <w:bottom w:val="outset" w:color="auto" w:sz="6" w:space="0"/>
                    <w:right w:val="outset" w:color="auto" w:sz="6" w:space="0"/>
                  </w:tcBorders>
                </w:tcPr>
                <w:p w14:paraId="11BB146E">
                  <w:pPr>
                    <w:spacing w:after="160" w:line="259" w:lineRule="auto"/>
                  </w:pPr>
                  <w:r>
                    <w:t>28,4%</w:t>
                  </w:r>
                </w:p>
              </w:tc>
              <w:tc>
                <w:tcPr>
                  <w:tcW w:w="2430" w:type="dxa"/>
                  <w:tcBorders>
                    <w:top w:val="nil"/>
                    <w:left w:val="outset" w:color="auto" w:sz="6" w:space="0"/>
                    <w:bottom w:val="outset" w:color="auto" w:sz="6" w:space="0"/>
                    <w:right w:val="outset" w:color="auto" w:sz="6" w:space="0"/>
                  </w:tcBorders>
                </w:tcPr>
                <w:p w14:paraId="6CB6E6FE">
                  <w:pPr>
                    <w:spacing w:after="160" w:line="259" w:lineRule="auto"/>
                  </w:pPr>
                  <w:r>
                    <w:t>43,3%</w:t>
                  </w:r>
                </w:p>
              </w:tc>
              <w:tc>
                <w:tcPr>
                  <w:tcW w:w="2465" w:type="dxa"/>
                  <w:tcBorders>
                    <w:top w:val="nil"/>
                    <w:left w:val="outset" w:color="auto" w:sz="6" w:space="0"/>
                    <w:bottom w:val="outset" w:color="auto" w:sz="6" w:space="0"/>
                    <w:right w:val="outset" w:color="auto" w:sz="6" w:space="0"/>
                  </w:tcBorders>
                </w:tcPr>
                <w:p w14:paraId="5A4AAE18">
                  <w:pPr>
                    <w:spacing w:after="160" w:line="259" w:lineRule="auto"/>
                  </w:pPr>
                  <w:r>
                    <w:t>25,4%</w:t>
                  </w:r>
                </w:p>
              </w:tc>
            </w:tr>
            <w:tr w14:paraId="3C2E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15" w:type="dxa"/>
                  <w:tcBorders>
                    <w:top w:val="nil"/>
                    <w:left w:val="outset" w:color="auto" w:sz="6" w:space="0"/>
                    <w:bottom w:val="nil"/>
                    <w:right w:val="outset" w:color="auto" w:sz="6" w:space="0"/>
                  </w:tcBorders>
                </w:tcPr>
                <w:p w14:paraId="59D3297A">
                  <w:pPr>
                    <w:spacing w:after="160" w:line="259" w:lineRule="auto"/>
                  </w:pPr>
                  <w:r>
                    <w:t>2016</w:t>
                  </w:r>
                </w:p>
              </w:tc>
              <w:tc>
                <w:tcPr>
                  <w:tcW w:w="2415" w:type="dxa"/>
                  <w:tcBorders>
                    <w:top w:val="nil"/>
                    <w:left w:val="outset" w:color="auto" w:sz="6" w:space="0"/>
                    <w:bottom w:val="nil"/>
                    <w:right w:val="outset" w:color="auto" w:sz="6" w:space="0"/>
                  </w:tcBorders>
                </w:tcPr>
                <w:p w14:paraId="08C35A49">
                  <w:pPr>
                    <w:spacing w:after="160" w:line="259" w:lineRule="auto"/>
                  </w:pPr>
                  <w:r>
                    <w:t>2,3%</w:t>
                  </w:r>
                </w:p>
              </w:tc>
              <w:tc>
                <w:tcPr>
                  <w:tcW w:w="2430" w:type="dxa"/>
                  <w:tcBorders>
                    <w:top w:val="nil"/>
                    <w:left w:val="outset" w:color="auto" w:sz="6" w:space="0"/>
                    <w:bottom w:val="nil"/>
                    <w:right w:val="outset" w:color="auto" w:sz="6" w:space="0"/>
                  </w:tcBorders>
                </w:tcPr>
                <w:p w14:paraId="4412FA24">
                  <w:pPr>
                    <w:spacing w:after="160" w:line="259" w:lineRule="auto"/>
                  </w:pPr>
                  <w:r>
                    <w:t>28,4%</w:t>
                  </w:r>
                </w:p>
              </w:tc>
              <w:tc>
                <w:tcPr>
                  <w:tcW w:w="2430" w:type="dxa"/>
                  <w:tcBorders>
                    <w:top w:val="nil"/>
                    <w:left w:val="outset" w:color="auto" w:sz="6" w:space="0"/>
                    <w:bottom w:val="nil"/>
                    <w:right w:val="outset" w:color="auto" w:sz="6" w:space="0"/>
                  </w:tcBorders>
                </w:tcPr>
                <w:p w14:paraId="258F5DEF">
                  <w:pPr>
                    <w:spacing w:after="160" w:line="259" w:lineRule="auto"/>
                  </w:pPr>
                  <w:r>
                    <w:t>45,5%</w:t>
                  </w:r>
                </w:p>
              </w:tc>
              <w:tc>
                <w:tcPr>
                  <w:tcW w:w="2465" w:type="dxa"/>
                  <w:tcBorders>
                    <w:top w:val="nil"/>
                    <w:left w:val="outset" w:color="auto" w:sz="6" w:space="0"/>
                    <w:bottom w:val="nil"/>
                    <w:right w:val="outset" w:color="auto" w:sz="6" w:space="0"/>
                  </w:tcBorders>
                </w:tcPr>
                <w:p w14:paraId="1C8C355A">
                  <w:pPr>
                    <w:spacing w:after="160" w:line="259" w:lineRule="auto"/>
                  </w:pPr>
                  <w:r>
                    <w:t>23,9%</w:t>
                  </w:r>
                </w:p>
              </w:tc>
            </w:tr>
            <w:tr w14:paraId="126F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15" w:type="dxa"/>
                  <w:tcBorders>
                    <w:top w:val="nil"/>
                    <w:left w:val="outset" w:color="auto" w:sz="6" w:space="0"/>
                    <w:bottom w:val="nil"/>
                    <w:right w:val="outset" w:color="auto" w:sz="6" w:space="0"/>
                  </w:tcBorders>
                </w:tcPr>
                <w:p w14:paraId="44A68C0E">
                  <w:pPr>
                    <w:spacing w:after="160" w:line="259" w:lineRule="auto"/>
                    <w:rPr>
                      <w:rFonts w:hint="default"/>
                      <w:lang w:val="pt-BR"/>
                    </w:rPr>
                  </w:pPr>
                  <w:r>
                    <w:rPr>
                      <w:rFonts w:hint="default"/>
                      <w:lang w:val="pt-BR"/>
                    </w:rPr>
                    <w:t>2023</w:t>
                  </w:r>
                </w:p>
              </w:tc>
              <w:tc>
                <w:tcPr>
                  <w:tcW w:w="2415" w:type="dxa"/>
                  <w:tcBorders>
                    <w:top w:val="nil"/>
                    <w:left w:val="outset" w:color="auto" w:sz="6" w:space="0"/>
                    <w:bottom w:val="nil"/>
                    <w:right w:val="outset" w:color="auto" w:sz="6" w:space="0"/>
                  </w:tcBorders>
                </w:tcPr>
                <w:p w14:paraId="2549B989">
                  <w:pPr>
                    <w:spacing w:after="160" w:line="259" w:lineRule="auto"/>
                    <w:rPr>
                      <w:rFonts w:hint="default"/>
                      <w:lang w:val="pt-BR"/>
                    </w:rPr>
                  </w:pPr>
                  <w:r>
                    <w:rPr>
                      <w:rFonts w:hint="default"/>
                      <w:lang w:val="pt-BR"/>
                    </w:rPr>
                    <w:t>97,4%</w:t>
                  </w:r>
                </w:p>
              </w:tc>
              <w:tc>
                <w:tcPr>
                  <w:tcW w:w="2430" w:type="dxa"/>
                  <w:tcBorders>
                    <w:top w:val="nil"/>
                    <w:left w:val="outset" w:color="auto" w:sz="6" w:space="0"/>
                    <w:bottom w:val="nil"/>
                    <w:right w:val="outset" w:color="auto" w:sz="6" w:space="0"/>
                  </w:tcBorders>
                </w:tcPr>
                <w:p w14:paraId="420660AD">
                  <w:pPr>
                    <w:spacing w:after="160" w:line="259" w:lineRule="auto"/>
                    <w:rPr>
                      <w:rFonts w:hint="default"/>
                      <w:lang w:val="pt-BR"/>
                    </w:rPr>
                  </w:pPr>
                  <w:r>
                    <w:rPr>
                      <w:rFonts w:hint="default"/>
                      <w:lang w:val="pt-BR"/>
                    </w:rPr>
                    <w:t>Fonte : Indicador Criança</w:t>
                  </w:r>
                </w:p>
              </w:tc>
              <w:tc>
                <w:tcPr>
                  <w:tcW w:w="2430" w:type="dxa"/>
                  <w:tcBorders>
                    <w:top w:val="nil"/>
                    <w:left w:val="outset" w:color="auto" w:sz="6" w:space="0"/>
                    <w:bottom w:val="nil"/>
                    <w:right w:val="outset" w:color="auto" w:sz="6" w:space="0"/>
                  </w:tcBorders>
                </w:tcPr>
                <w:p w14:paraId="78F01C9B">
                  <w:pPr>
                    <w:spacing w:after="160" w:line="259" w:lineRule="auto"/>
                    <w:rPr>
                      <w:rFonts w:hint="default"/>
                      <w:lang w:val="pt-BR"/>
                    </w:rPr>
                  </w:pPr>
                  <w:r>
                    <w:rPr>
                      <w:rFonts w:hint="default"/>
                      <w:lang w:val="pt-BR"/>
                    </w:rPr>
                    <w:t>Alfabetizada INEP</w:t>
                  </w:r>
                </w:p>
              </w:tc>
              <w:tc>
                <w:tcPr>
                  <w:tcW w:w="2465" w:type="dxa"/>
                  <w:tcBorders>
                    <w:top w:val="nil"/>
                    <w:left w:val="outset" w:color="auto" w:sz="6" w:space="0"/>
                    <w:bottom w:val="nil"/>
                    <w:right w:val="outset" w:color="auto" w:sz="6" w:space="0"/>
                  </w:tcBorders>
                </w:tcPr>
                <w:p w14:paraId="315F5F1C">
                  <w:pPr>
                    <w:spacing w:after="160" w:line="259" w:lineRule="auto"/>
                  </w:pPr>
                </w:p>
              </w:tc>
            </w:tr>
          </w:tbl>
          <w:p w14:paraId="1AC0EE61"/>
          <w:tbl>
            <w:tblPr>
              <w:tblStyle w:val="9"/>
              <w:tblW w:w="13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
              <w:gridCol w:w="6780"/>
              <w:gridCol w:w="7159"/>
            </w:tblGrid>
            <w:tr w14:paraId="1E12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13941" w:type="dxa"/>
                  <w:gridSpan w:val="3"/>
                </w:tcPr>
                <w:p w14:paraId="5534F61E">
                  <w:pPr>
                    <w:jc w:val="center"/>
                    <w:rPr>
                      <w:rFonts w:hint="default"/>
                      <w:b/>
                      <w:bCs/>
                      <w:vertAlign w:val="baseline"/>
                      <w:lang w:val="pt-BR"/>
                    </w:rPr>
                  </w:pPr>
                  <w:r>
                    <w:rPr>
                      <w:rFonts w:hint="default"/>
                      <w:b/>
                      <w:bCs/>
                      <w:vertAlign w:val="baseline"/>
                      <w:lang w:val="pt-BR"/>
                    </w:rPr>
                    <w:t xml:space="preserve">Ficha Metodológica para o indicador 5B </w:t>
                  </w:r>
                </w:p>
                <w:tbl>
                  <w:tblPr>
                    <w:tblStyle w:val="9"/>
                    <w:tblW w:w="13950"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7"/>
                    <w:gridCol w:w="7173"/>
                  </w:tblGrid>
                  <w:tr w14:paraId="11FE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7" w:type="dxa"/>
                      </w:tcPr>
                      <w:p w14:paraId="2CAF1BC9">
                        <w:pPr>
                          <w:jc w:val="both"/>
                          <w:rPr>
                            <w:rFonts w:hint="default"/>
                            <w:b/>
                            <w:bCs/>
                            <w:vertAlign w:val="baseline"/>
                            <w:lang w:val="pt-BR"/>
                          </w:rPr>
                        </w:pPr>
                        <w:r>
                          <w:rPr>
                            <w:rFonts w:hint="default"/>
                            <w:b/>
                            <w:bCs/>
                            <w:vertAlign w:val="baseline"/>
                            <w:lang w:val="pt-BR"/>
                          </w:rPr>
                          <w:t>Meta 5</w:t>
                        </w:r>
                      </w:p>
                    </w:tc>
                    <w:tc>
                      <w:tcPr>
                        <w:tcW w:w="7173" w:type="dxa"/>
                      </w:tcPr>
                      <w:p w14:paraId="1CD4761C">
                        <w:pPr>
                          <w:jc w:val="center"/>
                          <w:rPr>
                            <w:rFonts w:hint="default"/>
                            <w:b/>
                            <w:bCs/>
                            <w:vertAlign w:val="baseline"/>
                            <w:lang w:val="pt-BR"/>
                          </w:rPr>
                        </w:pPr>
                        <w:r>
                          <w:rPr>
                            <w:rFonts w:hint="default"/>
                            <w:b/>
                            <w:bCs/>
                            <w:vertAlign w:val="baseline"/>
                            <w:lang w:val="pt-BR"/>
                          </w:rPr>
                          <w:t>Alfabetizar todas as crianças, no máximo, até o final do 3º (terceiro) ano do Ensino Fundamental</w:t>
                        </w:r>
                      </w:p>
                    </w:tc>
                  </w:tr>
                </w:tbl>
                <w:p w14:paraId="6FCD9429">
                  <w:pPr>
                    <w:jc w:val="center"/>
                    <w:rPr>
                      <w:rFonts w:hint="default"/>
                      <w:b/>
                      <w:bCs/>
                      <w:vertAlign w:val="baseline"/>
                      <w:lang w:val="pt-BR"/>
                    </w:rPr>
                  </w:pPr>
                </w:p>
              </w:tc>
            </w:tr>
            <w:tr w14:paraId="54B6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wBefore w:w="2" w:type="dxa"/>
              </w:trPr>
              <w:tc>
                <w:tcPr>
                  <w:tcW w:w="6780" w:type="dxa"/>
                  <w:tcBorders>
                    <w:top w:val="outset" w:color="auto" w:sz="6" w:space="0"/>
                    <w:left w:val="outset" w:color="auto" w:sz="6" w:space="0"/>
                    <w:bottom w:val="outset" w:color="auto" w:sz="6" w:space="0"/>
                    <w:right w:val="outset" w:color="auto" w:sz="6" w:space="0"/>
                  </w:tcBorders>
                </w:tcPr>
                <w:p w14:paraId="3F80DE00">
                  <w:pPr>
                    <w:spacing w:after="160" w:line="259" w:lineRule="auto"/>
                    <w:rPr>
                      <w:rFonts w:hint="default"/>
                      <w:lang w:val="pt-BR"/>
                    </w:rPr>
                  </w:pPr>
                  <w:r>
                    <w:t xml:space="preserve">Indicador </w:t>
                  </w:r>
                  <w:r>
                    <w:rPr>
                      <w:rFonts w:hint="default"/>
                      <w:lang w:val="pt-BR"/>
                    </w:rPr>
                    <w:t xml:space="preserve">5 B NAcional </w:t>
                  </w:r>
                </w:p>
                <w:p w14:paraId="44DD5B28">
                  <w:pPr>
                    <w:spacing w:after="160" w:line="259" w:lineRule="auto"/>
                    <w:rPr>
                      <w:rFonts w:hint="default"/>
                      <w:lang w:val="pt-BR"/>
                    </w:rPr>
                  </w:pPr>
                  <w:r>
                    <w:rPr>
                      <w:rFonts w:hint="default"/>
                      <w:lang w:val="pt-BR"/>
                    </w:rPr>
                    <w:t>Indicador 5 B Proposto</w:t>
                  </w:r>
                </w:p>
              </w:tc>
              <w:tc>
                <w:tcPr>
                  <w:tcW w:w="7159" w:type="dxa"/>
                  <w:tcBorders>
                    <w:top w:val="outset" w:color="auto" w:sz="6" w:space="0"/>
                    <w:left w:val="outset" w:color="auto" w:sz="6" w:space="0"/>
                    <w:bottom w:val="outset" w:color="auto" w:sz="6" w:space="0"/>
                    <w:right w:val="outset" w:color="auto" w:sz="6" w:space="0"/>
                  </w:tcBorders>
                </w:tcPr>
                <w:tbl>
                  <w:tblPr>
                    <w:tblStyle w:val="3"/>
                    <w:tblW w:w="6785" w:type="dxa"/>
                    <w:tblInd w:w="0" w:type="dxa"/>
                    <w:tblLayout w:type="fixed"/>
                    <w:tblCellMar>
                      <w:top w:w="15" w:type="dxa"/>
                      <w:left w:w="15" w:type="dxa"/>
                      <w:bottom w:w="15" w:type="dxa"/>
                      <w:right w:w="15" w:type="dxa"/>
                    </w:tblCellMar>
                  </w:tblPr>
                  <w:tblGrid>
                    <w:gridCol w:w="6785"/>
                  </w:tblGrid>
                  <w:tr w14:paraId="04BCD7C7">
                    <w:tblPrEx>
                      <w:tblCellMar>
                        <w:top w:w="15" w:type="dxa"/>
                        <w:left w:w="15" w:type="dxa"/>
                        <w:bottom w:w="15" w:type="dxa"/>
                        <w:right w:w="15" w:type="dxa"/>
                      </w:tblCellMar>
                    </w:tblPrEx>
                    <w:tc>
                      <w:tcPr>
                        <w:tcW w:w="6785" w:type="dxa"/>
                        <w:tcBorders>
                          <w:top w:val="nil"/>
                          <w:left w:val="nil"/>
                          <w:bottom w:val="nil"/>
                          <w:right w:val="nil"/>
                        </w:tcBorders>
                      </w:tcPr>
                      <w:p w14:paraId="5D0F8910">
                        <w:pPr>
                          <w:rPr>
                            <w:rFonts w:hint="default"/>
                            <w:lang w:val="pt-BR"/>
                          </w:rPr>
                        </w:pPr>
                        <w:r>
                          <w:t>Proficiência dos alunos do 3º ano do Ensino Fundamental em Escrita</w:t>
                        </w:r>
                        <w:r>
                          <w:rPr>
                            <w:rFonts w:hint="default"/>
                            <w:lang w:val="pt-BR"/>
                          </w:rPr>
                          <w:t>.</w:t>
                        </w:r>
                      </w:p>
                    </w:tc>
                  </w:tr>
                  <w:tr w14:paraId="36D13AD3">
                    <w:tblPrEx>
                      <w:tblCellMar>
                        <w:top w:w="15" w:type="dxa"/>
                        <w:left w:w="15" w:type="dxa"/>
                        <w:bottom w:w="15" w:type="dxa"/>
                        <w:right w:w="15" w:type="dxa"/>
                      </w:tblCellMar>
                    </w:tblPrEx>
                    <w:tc>
                      <w:tcPr>
                        <w:tcW w:w="6785" w:type="dxa"/>
                        <w:tcBorders>
                          <w:top w:val="nil"/>
                          <w:left w:val="nil"/>
                          <w:bottom w:val="nil"/>
                          <w:right w:val="nil"/>
                        </w:tcBorders>
                      </w:tcPr>
                      <w:p w14:paraId="58F4CCFA">
                        <w:pPr>
                          <w:rPr>
                            <w:rFonts w:hint="default"/>
                            <w:lang w:val="pt-BR"/>
                          </w:rPr>
                        </w:pPr>
                        <w:r>
                          <w:rPr>
                            <w:rFonts w:hint="default"/>
                            <w:lang w:val="pt-BR"/>
                          </w:rPr>
                          <w:t>Replicar o nacional.</w:t>
                        </w:r>
                      </w:p>
                    </w:tc>
                  </w:tr>
                </w:tbl>
                <w:p w14:paraId="1DEE3E60">
                  <w:pPr>
                    <w:spacing w:after="160" w:line="259" w:lineRule="auto"/>
                  </w:pPr>
                </w:p>
              </w:tc>
            </w:tr>
            <w:tr w14:paraId="5978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wBefore w:w="2" w:type="dxa"/>
              </w:trPr>
              <w:tc>
                <w:tcPr>
                  <w:tcW w:w="6780" w:type="dxa"/>
                  <w:tcBorders>
                    <w:top w:val="nil"/>
                    <w:left w:val="outset" w:color="auto" w:sz="6" w:space="0"/>
                    <w:bottom w:val="outset" w:color="auto" w:sz="6" w:space="0"/>
                    <w:right w:val="outset" w:color="auto" w:sz="6" w:space="0"/>
                  </w:tcBorders>
                </w:tcPr>
                <w:p w14:paraId="3F297FED">
                  <w:pPr>
                    <w:spacing w:after="160" w:line="259" w:lineRule="auto"/>
                  </w:pPr>
                  <w:r>
                    <w:t>Fórmula de cálculo</w:t>
                  </w:r>
                </w:p>
              </w:tc>
              <w:tc>
                <w:tcPr>
                  <w:tcW w:w="7159" w:type="dxa"/>
                  <w:tcBorders>
                    <w:top w:val="nil"/>
                    <w:left w:val="outset" w:color="auto" w:sz="6" w:space="0"/>
                    <w:bottom w:val="outset" w:color="auto" w:sz="6" w:space="0"/>
                    <w:right w:val="outset" w:color="auto" w:sz="6" w:space="0"/>
                  </w:tcBorders>
                </w:tcPr>
                <w:p w14:paraId="1D51D871">
                  <w:pPr>
                    <w:spacing w:after="160" w:line="259" w:lineRule="auto"/>
                  </w:pPr>
                  <w:r>
                    <w:t>Os resultados da ANA são apresentados em percentuais de estudantes em cada escala de proficiência.</w:t>
                  </w:r>
                </w:p>
              </w:tc>
            </w:tr>
            <w:tr w14:paraId="4EFE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wBefore w:w="2" w:type="dxa"/>
              </w:trPr>
              <w:tc>
                <w:tcPr>
                  <w:tcW w:w="6780" w:type="dxa"/>
                  <w:tcBorders>
                    <w:top w:val="nil"/>
                    <w:left w:val="outset" w:color="auto" w:sz="6" w:space="0"/>
                    <w:bottom w:val="outset" w:color="auto" w:sz="6" w:space="0"/>
                    <w:right w:val="outset" w:color="auto" w:sz="6" w:space="0"/>
                  </w:tcBorders>
                </w:tcPr>
                <w:p w14:paraId="79ABEADC">
                  <w:pPr>
                    <w:spacing w:after="160" w:line="259" w:lineRule="auto"/>
                  </w:pPr>
                  <w:r>
                    <w:t>Comentário</w:t>
                  </w:r>
                </w:p>
              </w:tc>
              <w:tc>
                <w:tcPr>
                  <w:tcW w:w="7159" w:type="dxa"/>
                  <w:tcBorders>
                    <w:top w:val="nil"/>
                    <w:left w:val="outset" w:color="auto" w:sz="6" w:space="0"/>
                    <w:bottom w:val="outset" w:color="auto" w:sz="6" w:space="0"/>
                    <w:right w:val="outset" w:color="auto" w:sz="6" w:space="0"/>
                  </w:tcBorders>
                </w:tcPr>
                <w:p w14:paraId="53E3BAEB">
                  <w:pPr>
                    <w:spacing w:after="160" w:line="259" w:lineRule="auto"/>
                    <w:jc w:val="both"/>
                    <w:rPr>
                      <w:rFonts w:hint="default"/>
                      <w:b/>
                      <w:lang w:val="pt-BR"/>
                    </w:rPr>
                  </w:pPr>
                  <w:r>
                    <w:t>Calculado conforme Relatório do 3º Ciclo de Monitoramento das Metas do Plano Nacional de Educação - 2020 (INEP</w:t>
                  </w:r>
                  <w:r>
                    <w:rPr>
                      <w:b/>
                    </w:rPr>
                    <w:t xml:space="preserve">).  A </w:t>
                  </w:r>
                  <w:r>
                    <w:rPr>
                      <w:rFonts w:hint="default"/>
                      <w:b/>
                      <w:lang w:val="pt-BR"/>
                    </w:rPr>
                    <w:t>partir de 2023, a Pesquisa Alfabetiza Brasil foi realizada pelo INEP determinou ponto de corte que indica a alfabetização de uma criança ao final do 2º ano do ensino fundamental. O padrão nacional de desempenho da criança alfabetizada foi estabelecido em 743 pontos na escala do SAEB. A partir dessa definição, foi possível o INEP considerar os percentuais de estudantes que apresentaram desempenho igual ou superior ao do ponto de corte, publicando os resultados por municipio, por meio de um único INDICADOR CRIANÇA ALFABETIZADA.</w:t>
                  </w:r>
                </w:p>
              </w:tc>
            </w:tr>
          </w:tbl>
          <w:p w14:paraId="10810312">
            <w:pPr>
              <w:rPr>
                <w:b/>
              </w:rPr>
            </w:pPr>
          </w:p>
          <w:p w14:paraId="12136E81">
            <w:pPr>
              <w:rPr>
                <w:b/>
              </w:rPr>
            </w:pPr>
          </w:p>
          <w:p w14:paraId="06518E12">
            <w:pPr>
              <w:rPr>
                <w:rFonts w:hint="default"/>
                <w:b/>
                <w:lang w:val="pt-BR"/>
              </w:rPr>
            </w:pPr>
            <w:r>
              <w:rPr>
                <w:b/>
              </w:rPr>
              <w:t>Indicador: Indicador 5</w:t>
            </w:r>
            <w:r>
              <w:rPr>
                <w:rFonts w:hint="default"/>
                <w:b/>
                <w:lang w:val="pt-BR"/>
              </w:rPr>
              <w:t>B</w:t>
            </w:r>
          </w:p>
          <w:p w14:paraId="4A8DE2D5">
            <w:pPr>
              <w:rPr>
                <w:rFonts w:hint="default"/>
                <w:lang w:val="pt-BR"/>
              </w:rPr>
            </w:pPr>
            <w:r>
              <w:t xml:space="preserve">Distribuição percentual dos estudantes do 3º ano do Ensino Fundamental nos níveis de proficiência </w:t>
            </w:r>
            <w:r>
              <w:rPr>
                <w:rFonts w:hint="default"/>
                <w:lang w:val="pt-BR"/>
              </w:rPr>
              <w:t xml:space="preserve">em escrita </w:t>
            </w:r>
            <w:r>
              <w:t xml:space="preserve"> na ANA</w:t>
            </w:r>
            <w:r>
              <w:rPr>
                <w:rFonts w:hint="default"/>
                <w:lang w:val="pt-BR"/>
              </w:rPr>
              <w:t>.</w:t>
            </w:r>
          </w:p>
          <w:tbl>
            <w:tblPr>
              <w:tblStyle w:val="9"/>
              <w:tblW w:w="13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475"/>
              <w:gridCol w:w="2475"/>
              <w:gridCol w:w="2280"/>
              <w:gridCol w:w="2475"/>
              <w:gridCol w:w="2280"/>
              <w:gridCol w:w="1739"/>
            </w:tblGrid>
            <w:tr w14:paraId="2F65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75" w:type="dxa"/>
                  <w:tcBorders>
                    <w:top w:val="nil"/>
                    <w:left w:val="nil"/>
                    <w:bottom w:val="outset" w:color="auto" w:sz="6" w:space="0"/>
                    <w:right w:val="outset" w:color="auto" w:sz="6" w:space="0"/>
                  </w:tcBorders>
                </w:tcPr>
                <w:p w14:paraId="78B3A1DF">
                  <w:r>
                    <w:t>Fonte: Avaliação Nacional de Alfabetização - ANA</w:t>
                  </w:r>
                </w:p>
              </w:tc>
              <w:tc>
                <w:tcPr>
                  <w:tcW w:w="2475" w:type="dxa"/>
                  <w:tcBorders>
                    <w:top w:val="outset" w:color="auto" w:sz="6" w:space="0"/>
                    <w:left w:val="outset" w:color="auto" w:sz="6" w:space="0"/>
                    <w:bottom w:val="outset" w:color="auto" w:sz="6" w:space="0"/>
                    <w:right w:val="outset" w:color="auto" w:sz="6" w:space="0"/>
                  </w:tcBorders>
                </w:tcPr>
                <w:p w14:paraId="01254FC1">
                  <w:pPr>
                    <w:spacing w:after="160" w:line="259" w:lineRule="auto"/>
                  </w:pPr>
                  <w:r>
                    <w:rPr>
                      <w:b/>
                      <w:bCs/>
                    </w:rPr>
                    <w:t>Nível 1</w:t>
                  </w:r>
                </w:p>
              </w:tc>
              <w:tc>
                <w:tcPr>
                  <w:tcW w:w="2280" w:type="dxa"/>
                  <w:tcBorders>
                    <w:top w:val="outset" w:color="auto" w:sz="6" w:space="0"/>
                    <w:left w:val="outset" w:color="auto" w:sz="6" w:space="0"/>
                    <w:bottom w:val="outset" w:color="auto" w:sz="6" w:space="0"/>
                    <w:right w:val="outset" w:color="auto" w:sz="6" w:space="0"/>
                  </w:tcBorders>
                </w:tcPr>
                <w:p w14:paraId="667EDC49">
                  <w:pPr>
                    <w:spacing w:after="160" w:line="259" w:lineRule="auto"/>
                  </w:pPr>
                  <w:r>
                    <w:rPr>
                      <w:b/>
                      <w:bCs/>
                    </w:rPr>
                    <w:t>Nível 2</w:t>
                  </w:r>
                </w:p>
              </w:tc>
              <w:tc>
                <w:tcPr>
                  <w:tcW w:w="2475" w:type="dxa"/>
                  <w:tcBorders>
                    <w:top w:val="outset" w:color="auto" w:sz="6" w:space="0"/>
                    <w:left w:val="outset" w:color="auto" w:sz="6" w:space="0"/>
                    <w:bottom w:val="outset" w:color="auto" w:sz="6" w:space="0"/>
                    <w:right w:val="outset" w:color="auto" w:sz="6" w:space="0"/>
                  </w:tcBorders>
                </w:tcPr>
                <w:p w14:paraId="0FD30698">
                  <w:pPr>
                    <w:spacing w:after="160" w:line="259" w:lineRule="auto"/>
                  </w:pPr>
                  <w:r>
                    <w:rPr>
                      <w:b/>
                      <w:bCs/>
                    </w:rPr>
                    <w:t>Nível 3</w:t>
                  </w:r>
                </w:p>
              </w:tc>
              <w:tc>
                <w:tcPr>
                  <w:tcW w:w="2280" w:type="dxa"/>
                  <w:tcBorders>
                    <w:top w:val="outset" w:color="auto" w:sz="6" w:space="0"/>
                    <w:left w:val="outset" w:color="auto" w:sz="6" w:space="0"/>
                    <w:bottom w:val="outset" w:color="auto" w:sz="6" w:space="0"/>
                    <w:right w:val="outset" w:color="auto" w:sz="6" w:space="0"/>
                  </w:tcBorders>
                </w:tcPr>
                <w:p w14:paraId="4208082C">
                  <w:pPr>
                    <w:spacing w:after="160" w:line="259" w:lineRule="auto"/>
                  </w:pPr>
                  <w:r>
                    <w:rPr>
                      <w:b/>
                      <w:bCs/>
                    </w:rPr>
                    <w:t>Nível 4</w:t>
                  </w:r>
                </w:p>
              </w:tc>
              <w:tc>
                <w:tcPr>
                  <w:tcW w:w="1739" w:type="dxa"/>
                  <w:tcBorders>
                    <w:top w:val="outset" w:color="auto" w:sz="6" w:space="0"/>
                    <w:left w:val="outset" w:color="auto" w:sz="6" w:space="0"/>
                    <w:bottom w:val="outset" w:color="auto" w:sz="6" w:space="0"/>
                    <w:right w:val="outset" w:color="auto" w:sz="6" w:space="0"/>
                  </w:tcBorders>
                </w:tcPr>
                <w:p w14:paraId="1500D9B0">
                  <w:pPr>
                    <w:spacing w:after="160" w:line="259" w:lineRule="auto"/>
                    <w:rPr>
                      <w:rFonts w:hint="default"/>
                      <w:b/>
                      <w:bCs/>
                      <w:lang w:val="pt-BR"/>
                    </w:rPr>
                  </w:pPr>
                  <w:r>
                    <w:rPr>
                      <w:rFonts w:hint="default"/>
                      <w:b/>
                      <w:bCs/>
                      <w:lang w:val="pt-BR"/>
                    </w:rPr>
                    <w:t>Nível 5</w:t>
                  </w:r>
                </w:p>
              </w:tc>
            </w:tr>
            <w:tr w14:paraId="3CE4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75" w:type="dxa"/>
                  <w:tcBorders>
                    <w:top w:val="nil"/>
                    <w:left w:val="outset" w:color="auto" w:sz="6" w:space="0"/>
                    <w:bottom w:val="outset" w:color="auto" w:sz="6" w:space="0"/>
                    <w:right w:val="outset" w:color="auto" w:sz="6" w:space="0"/>
                  </w:tcBorders>
                </w:tcPr>
                <w:p w14:paraId="5DD9BF55">
                  <w:pPr>
                    <w:spacing w:after="160" w:line="259" w:lineRule="auto"/>
                  </w:pPr>
                  <w:r>
                    <w:t>2014</w:t>
                  </w:r>
                </w:p>
              </w:tc>
              <w:tc>
                <w:tcPr>
                  <w:tcW w:w="2475" w:type="dxa"/>
                  <w:tcBorders>
                    <w:top w:val="nil"/>
                    <w:left w:val="outset" w:color="auto" w:sz="6" w:space="0"/>
                    <w:bottom w:val="outset" w:color="auto" w:sz="6" w:space="0"/>
                    <w:right w:val="outset" w:color="auto" w:sz="6" w:space="0"/>
                  </w:tcBorders>
                </w:tcPr>
                <w:p w14:paraId="2A5F5D8E">
                  <w:pPr>
                    <w:spacing w:after="160" w:line="259" w:lineRule="auto"/>
                  </w:pPr>
                  <w:r>
                    <w:t>1,5%</w:t>
                  </w:r>
                </w:p>
              </w:tc>
              <w:tc>
                <w:tcPr>
                  <w:tcW w:w="2280" w:type="dxa"/>
                  <w:tcBorders>
                    <w:top w:val="nil"/>
                    <w:left w:val="outset" w:color="auto" w:sz="6" w:space="0"/>
                    <w:bottom w:val="outset" w:color="auto" w:sz="6" w:space="0"/>
                    <w:right w:val="outset" w:color="auto" w:sz="6" w:space="0"/>
                  </w:tcBorders>
                </w:tcPr>
                <w:p w14:paraId="14FDE141">
                  <w:pPr>
                    <w:spacing w:after="160" w:line="259" w:lineRule="auto"/>
                  </w:pPr>
                  <w:r>
                    <w:rPr>
                      <w:rFonts w:hint="default"/>
                      <w:lang w:val="pt-BR"/>
                    </w:rPr>
                    <w:t>1,5</w:t>
                  </w:r>
                  <w:r>
                    <w:t>%</w:t>
                  </w:r>
                </w:p>
              </w:tc>
              <w:tc>
                <w:tcPr>
                  <w:tcW w:w="2475" w:type="dxa"/>
                  <w:tcBorders>
                    <w:top w:val="nil"/>
                    <w:left w:val="outset" w:color="auto" w:sz="6" w:space="0"/>
                    <w:bottom w:val="outset" w:color="auto" w:sz="6" w:space="0"/>
                    <w:right w:val="outset" w:color="auto" w:sz="6" w:space="0"/>
                  </w:tcBorders>
                </w:tcPr>
                <w:p w14:paraId="07C8BABD">
                  <w:pPr>
                    <w:spacing w:after="160" w:line="259" w:lineRule="auto"/>
                  </w:pPr>
                  <w:r>
                    <w:rPr>
                      <w:rFonts w:hint="default"/>
                      <w:lang w:val="pt-BR"/>
                    </w:rPr>
                    <w:t>1,5</w:t>
                  </w:r>
                  <w:r>
                    <w:t>%</w:t>
                  </w:r>
                </w:p>
              </w:tc>
              <w:tc>
                <w:tcPr>
                  <w:tcW w:w="2280" w:type="dxa"/>
                  <w:tcBorders>
                    <w:top w:val="nil"/>
                    <w:left w:val="outset" w:color="auto" w:sz="6" w:space="0"/>
                    <w:bottom w:val="outset" w:color="auto" w:sz="6" w:space="0"/>
                    <w:right w:val="outset" w:color="auto" w:sz="6" w:space="0"/>
                  </w:tcBorders>
                </w:tcPr>
                <w:p w14:paraId="614419C4">
                  <w:pPr>
                    <w:spacing w:after="160" w:line="259" w:lineRule="auto"/>
                    <w:rPr>
                      <w:rFonts w:hint="default"/>
                      <w:lang w:val="pt-BR"/>
                    </w:rPr>
                  </w:pPr>
                  <w:r>
                    <w:rPr>
                      <w:rFonts w:hint="default"/>
                      <w:lang w:val="pt-BR"/>
                    </w:rPr>
                    <w:t>68,7%</w:t>
                  </w:r>
                </w:p>
              </w:tc>
              <w:tc>
                <w:tcPr>
                  <w:tcW w:w="1739" w:type="dxa"/>
                  <w:tcBorders>
                    <w:top w:val="nil"/>
                    <w:left w:val="outset" w:color="auto" w:sz="6" w:space="0"/>
                    <w:bottom w:val="outset" w:color="auto" w:sz="6" w:space="0"/>
                    <w:right w:val="outset" w:color="auto" w:sz="6" w:space="0"/>
                  </w:tcBorders>
                </w:tcPr>
                <w:p w14:paraId="7D7AC5E9">
                  <w:pPr>
                    <w:spacing w:after="160" w:line="259" w:lineRule="auto"/>
                    <w:rPr>
                      <w:rFonts w:hint="default"/>
                      <w:lang w:val="pt-BR"/>
                    </w:rPr>
                  </w:pPr>
                  <w:r>
                    <w:rPr>
                      <w:rFonts w:hint="default"/>
                      <w:lang w:val="pt-BR"/>
                    </w:rPr>
                    <w:t>26,9%</w:t>
                  </w:r>
                </w:p>
              </w:tc>
            </w:tr>
            <w:tr w14:paraId="5382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75" w:type="dxa"/>
                  <w:tcBorders>
                    <w:top w:val="nil"/>
                    <w:left w:val="outset" w:color="auto" w:sz="6" w:space="0"/>
                    <w:bottom w:val="nil"/>
                    <w:right w:val="outset" w:color="auto" w:sz="6" w:space="0"/>
                  </w:tcBorders>
                </w:tcPr>
                <w:p w14:paraId="0417338F">
                  <w:pPr>
                    <w:spacing w:after="160" w:line="259" w:lineRule="auto"/>
                  </w:pPr>
                  <w:r>
                    <w:t>2016</w:t>
                  </w:r>
                </w:p>
              </w:tc>
              <w:tc>
                <w:tcPr>
                  <w:tcW w:w="2475" w:type="dxa"/>
                  <w:tcBorders>
                    <w:top w:val="nil"/>
                    <w:left w:val="outset" w:color="auto" w:sz="6" w:space="0"/>
                    <w:bottom w:val="nil"/>
                    <w:right w:val="outset" w:color="auto" w:sz="6" w:space="0"/>
                  </w:tcBorders>
                </w:tcPr>
                <w:p w14:paraId="6FC4BDB0">
                  <w:pPr>
                    <w:spacing w:after="160" w:line="259" w:lineRule="auto"/>
                  </w:pPr>
                  <w:r>
                    <w:rPr>
                      <w:rFonts w:hint="default"/>
                      <w:lang w:val="pt-BR"/>
                    </w:rPr>
                    <w:t>1,1</w:t>
                  </w:r>
                  <w:r>
                    <w:t>%</w:t>
                  </w:r>
                </w:p>
              </w:tc>
              <w:tc>
                <w:tcPr>
                  <w:tcW w:w="2280" w:type="dxa"/>
                  <w:tcBorders>
                    <w:top w:val="nil"/>
                    <w:left w:val="outset" w:color="auto" w:sz="6" w:space="0"/>
                    <w:bottom w:val="nil"/>
                    <w:right w:val="outset" w:color="auto" w:sz="6" w:space="0"/>
                  </w:tcBorders>
                </w:tcPr>
                <w:p w14:paraId="2CE4A063">
                  <w:pPr>
                    <w:spacing w:after="160" w:line="259" w:lineRule="auto"/>
                  </w:pPr>
                  <w:r>
                    <w:rPr>
                      <w:rFonts w:hint="default"/>
                      <w:lang w:val="pt-BR"/>
                    </w:rPr>
                    <w:t>1,1</w:t>
                  </w:r>
                  <w:r>
                    <w:t>%</w:t>
                  </w:r>
                </w:p>
              </w:tc>
              <w:tc>
                <w:tcPr>
                  <w:tcW w:w="2475" w:type="dxa"/>
                  <w:tcBorders>
                    <w:top w:val="nil"/>
                    <w:left w:val="outset" w:color="auto" w:sz="6" w:space="0"/>
                    <w:bottom w:val="nil"/>
                    <w:right w:val="outset" w:color="auto" w:sz="6" w:space="0"/>
                  </w:tcBorders>
                </w:tcPr>
                <w:p w14:paraId="63F7CB7A">
                  <w:pPr>
                    <w:spacing w:after="160" w:line="259" w:lineRule="auto"/>
                  </w:pPr>
                  <w:r>
                    <w:rPr>
                      <w:rFonts w:hint="default"/>
                      <w:lang w:val="pt-BR"/>
                    </w:rPr>
                    <w:t>2,3</w:t>
                  </w:r>
                  <w:r>
                    <w:t>%</w:t>
                  </w:r>
                </w:p>
              </w:tc>
              <w:tc>
                <w:tcPr>
                  <w:tcW w:w="2280" w:type="dxa"/>
                  <w:tcBorders>
                    <w:top w:val="nil"/>
                    <w:left w:val="outset" w:color="auto" w:sz="6" w:space="0"/>
                    <w:bottom w:val="nil"/>
                    <w:right w:val="outset" w:color="auto" w:sz="6" w:space="0"/>
                  </w:tcBorders>
                </w:tcPr>
                <w:p w14:paraId="20F06B8E">
                  <w:pPr>
                    <w:spacing w:after="160" w:line="259" w:lineRule="auto"/>
                  </w:pPr>
                  <w:r>
                    <w:rPr>
                      <w:rFonts w:hint="default"/>
                      <w:lang w:val="pt-BR"/>
                    </w:rPr>
                    <w:t>71,6</w:t>
                  </w:r>
                  <w:r>
                    <w:t>%</w:t>
                  </w:r>
                </w:p>
              </w:tc>
              <w:tc>
                <w:tcPr>
                  <w:tcW w:w="1739" w:type="dxa"/>
                  <w:tcBorders>
                    <w:top w:val="nil"/>
                    <w:left w:val="outset" w:color="auto" w:sz="6" w:space="0"/>
                    <w:bottom w:val="nil"/>
                    <w:right w:val="outset" w:color="auto" w:sz="6" w:space="0"/>
                  </w:tcBorders>
                </w:tcPr>
                <w:p w14:paraId="3E4633D5">
                  <w:pPr>
                    <w:spacing w:after="160" w:line="259" w:lineRule="auto"/>
                    <w:rPr>
                      <w:rFonts w:hint="default"/>
                      <w:lang w:val="pt-BR"/>
                    </w:rPr>
                  </w:pPr>
                  <w:r>
                    <w:rPr>
                      <w:rFonts w:hint="default"/>
                      <w:lang w:val="pt-BR"/>
                    </w:rPr>
                    <w:t>23,9%</w:t>
                  </w:r>
                </w:p>
              </w:tc>
            </w:tr>
            <w:tr w14:paraId="7B11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75" w:type="dxa"/>
                  <w:tcBorders>
                    <w:top w:val="nil"/>
                    <w:left w:val="outset" w:color="auto" w:sz="6" w:space="0"/>
                    <w:bottom w:val="outset" w:color="auto" w:sz="6" w:space="0"/>
                    <w:right w:val="outset" w:color="auto" w:sz="6" w:space="0"/>
                  </w:tcBorders>
                </w:tcPr>
                <w:p w14:paraId="267B70AF">
                  <w:pPr>
                    <w:spacing w:after="160" w:line="259" w:lineRule="auto"/>
                    <w:rPr>
                      <w:rFonts w:hint="default"/>
                      <w:lang w:val="pt-BR"/>
                    </w:rPr>
                  </w:pPr>
                  <w:r>
                    <w:rPr>
                      <w:rFonts w:hint="default"/>
                      <w:lang w:val="pt-BR"/>
                    </w:rPr>
                    <w:t>2023</w:t>
                  </w:r>
                </w:p>
              </w:tc>
              <w:tc>
                <w:tcPr>
                  <w:tcW w:w="2475" w:type="dxa"/>
                  <w:tcBorders>
                    <w:top w:val="nil"/>
                    <w:left w:val="outset" w:color="auto" w:sz="6" w:space="0"/>
                    <w:bottom w:val="outset" w:color="auto" w:sz="6" w:space="0"/>
                    <w:right w:val="outset" w:color="auto" w:sz="6" w:space="0"/>
                  </w:tcBorders>
                </w:tcPr>
                <w:p w14:paraId="2EE707F0">
                  <w:pPr>
                    <w:spacing w:after="160" w:line="259" w:lineRule="auto"/>
                    <w:rPr>
                      <w:rFonts w:hint="default"/>
                      <w:lang w:val="pt-BR"/>
                    </w:rPr>
                  </w:pPr>
                  <w:r>
                    <w:rPr>
                      <w:rFonts w:hint="default"/>
                      <w:lang w:val="pt-BR"/>
                    </w:rPr>
                    <w:t>97,4%</w:t>
                  </w:r>
                </w:p>
              </w:tc>
              <w:tc>
                <w:tcPr>
                  <w:tcW w:w="2280" w:type="dxa"/>
                  <w:tcBorders>
                    <w:top w:val="nil"/>
                    <w:left w:val="outset" w:color="auto" w:sz="6" w:space="0"/>
                    <w:bottom w:val="outset" w:color="auto" w:sz="6" w:space="0"/>
                    <w:right w:val="outset" w:color="auto" w:sz="6" w:space="0"/>
                  </w:tcBorders>
                  <w:shd w:val="clear" w:color="auto" w:fill="auto"/>
                  <w:vAlign w:val="top"/>
                </w:tcPr>
                <w:p w14:paraId="3ABFE116">
                  <w:pPr>
                    <w:spacing w:after="160" w:line="259" w:lineRule="auto"/>
                    <w:rPr>
                      <w:rFonts w:hint="default" w:asciiTheme="minorHAnsi" w:hAnsiTheme="minorHAnsi" w:eastAsiaTheme="minorHAnsi" w:cstheme="minorBidi"/>
                      <w:sz w:val="22"/>
                      <w:szCs w:val="22"/>
                      <w:lang w:val="pt-BR" w:eastAsia="en-US" w:bidi="ar-SA"/>
                    </w:rPr>
                  </w:pPr>
                  <w:r>
                    <w:rPr>
                      <w:rFonts w:hint="default"/>
                      <w:lang w:val="pt-BR"/>
                    </w:rPr>
                    <w:t>Fonte : Indicador Criança</w:t>
                  </w:r>
                </w:p>
              </w:tc>
              <w:tc>
                <w:tcPr>
                  <w:tcW w:w="2475" w:type="dxa"/>
                  <w:tcBorders>
                    <w:top w:val="nil"/>
                    <w:left w:val="outset" w:color="auto" w:sz="6" w:space="0"/>
                    <w:bottom w:val="outset" w:color="auto" w:sz="6" w:space="0"/>
                    <w:right w:val="outset" w:color="auto" w:sz="6" w:space="0"/>
                  </w:tcBorders>
                  <w:shd w:val="clear" w:color="auto" w:fill="auto"/>
                  <w:vAlign w:val="top"/>
                </w:tcPr>
                <w:p w14:paraId="16EA4617">
                  <w:pPr>
                    <w:spacing w:after="160" w:line="259" w:lineRule="auto"/>
                    <w:rPr>
                      <w:rFonts w:hint="default" w:asciiTheme="minorHAnsi" w:hAnsiTheme="minorHAnsi" w:eastAsiaTheme="minorHAnsi" w:cstheme="minorBidi"/>
                      <w:sz w:val="22"/>
                      <w:szCs w:val="22"/>
                      <w:lang w:val="pt-BR" w:eastAsia="en-US" w:bidi="ar-SA"/>
                    </w:rPr>
                  </w:pPr>
                  <w:r>
                    <w:rPr>
                      <w:rFonts w:hint="default"/>
                      <w:lang w:val="pt-BR"/>
                    </w:rPr>
                    <w:t>Alfabetizada INEP.</w:t>
                  </w:r>
                </w:p>
              </w:tc>
              <w:tc>
                <w:tcPr>
                  <w:tcW w:w="2280" w:type="dxa"/>
                  <w:tcBorders>
                    <w:top w:val="nil"/>
                    <w:left w:val="outset" w:color="auto" w:sz="6" w:space="0"/>
                    <w:bottom w:val="outset" w:color="auto" w:sz="6" w:space="0"/>
                    <w:right w:val="outset" w:color="auto" w:sz="6" w:space="0"/>
                  </w:tcBorders>
                </w:tcPr>
                <w:p w14:paraId="33E88316">
                  <w:pPr>
                    <w:spacing w:after="160" w:line="259" w:lineRule="auto"/>
                    <w:rPr>
                      <w:rFonts w:hint="default"/>
                      <w:lang w:val="pt-BR"/>
                    </w:rPr>
                  </w:pPr>
                </w:p>
              </w:tc>
              <w:tc>
                <w:tcPr>
                  <w:tcW w:w="1739" w:type="dxa"/>
                  <w:tcBorders>
                    <w:top w:val="nil"/>
                    <w:left w:val="outset" w:color="auto" w:sz="6" w:space="0"/>
                    <w:bottom w:val="outset" w:color="auto" w:sz="6" w:space="0"/>
                    <w:right w:val="outset" w:color="auto" w:sz="6" w:space="0"/>
                  </w:tcBorders>
                </w:tcPr>
                <w:p w14:paraId="5CBBFED4">
                  <w:pPr>
                    <w:spacing w:after="160" w:line="259" w:lineRule="auto"/>
                    <w:rPr>
                      <w:rFonts w:hint="default"/>
                      <w:lang w:val="pt-BR"/>
                    </w:rPr>
                  </w:pPr>
                </w:p>
              </w:tc>
            </w:tr>
          </w:tbl>
          <w:p w14:paraId="0F209DE7"/>
        </w:tc>
      </w:tr>
    </w:tbl>
    <w:p w14:paraId="6FF15A8F">
      <w:pPr>
        <w:jc w:val="center"/>
        <w:rPr>
          <w:rFonts w:hint="default"/>
          <w:b/>
          <w:bCs/>
          <w:vertAlign w:val="baseline"/>
          <w:lang w:val="pt-BR"/>
        </w:rPr>
      </w:pPr>
      <w:r>
        <w:t xml:space="preserve"> </w:t>
      </w:r>
      <w:r>
        <w:rPr>
          <w:rFonts w:hint="default"/>
          <w:b/>
          <w:bCs/>
          <w:vertAlign w:val="baseline"/>
          <w:lang w:val="pt-BR"/>
        </w:rPr>
        <w:t xml:space="preserve">Ficha Metodológica para o indicador 5B </w:t>
      </w:r>
    </w:p>
    <w:tbl>
      <w:tblPr>
        <w:tblStyle w:val="9"/>
        <w:tblW w:w="13063" w:type="dxa"/>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
        <w:gridCol w:w="6508"/>
        <w:gridCol w:w="6528"/>
        <w:gridCol w:w="7"/>
      </w:tblGrid>
      <w:tr w14:paraId="3CF6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8" w:type="dxa"/>
            <w:gridSpan w:val="2"/>
          </w:tcPr>
          <w:p w14:paraId="4A279AB5">
            <w:pPr>
              <w:jc w:val="both"/>
              <w:rPr>
                <w:rFonts w:hint="default"/>
                <w:b/>
                <w:bCs/>
                <w:vertAlign w:val="baseline"/>
                <w:lang w:val="pt-BR"/>
              </w:rPr>
            </w:pPr>
            <w:r>
              <w:rPr>
                <w:rFonts w:hint="default"/>
                <w:b/>
                <w:bCs/>
                <w:vertAlign w:val="baseline"/>
                <w:lang w:val="pt-BR"/>
              </w:rPr>
              <w:t>Meta 5</w:t>
            </w:r>
          </w:p>
        </w:tc>
        <w:tc>
          <w:tcPr>
            <w:tcW w:w="6535" w:type="dxa"/>
            <w:gridSpan w:val="2"/>
          </w:tcPr>
          <w:p w14:paraId="5EA8885E">
            <w:pPr>
              <w:jc w:val="center"/>
              <w:rPr>
                <w:rFonts w:hint="default"/>
                <w:b/>
                <w:bCs/>
                <w:vertAlign w:val="baseline"/>
                <w:lang w:val="pt-BR"/>
              </w:rPr>
            </w:pPr>
            <w:r>
              <w:rPr>
                <w:rFonts w:hint="default"/>
                <w:b/>
                <w:bCs/>
                <w:vertAlign w:val="baseline"/>
                <w:lang w:val="pt-BR"/>
              </w:rPr>
              <w:t>Alfabetizar todas as crianças, no máximo, até o final do 3º (terceiro) ano do Ensino Fundamental</w:t>
            </w:r>
          </w:p>
        </w:tc>
      </w:tr>
      <w:tr w14:paraId="092F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20" w:type="dxa"/>
          <w:wAfter w:w="7" w:type="dxa"/>
        </w:trPr>
        <w:tc>
          <w:tcPr>
            <w:tcW w:w="6508" w:type="dxa"/>
            <w:tcBorders>
              <w:top w:val="outset" w:color="auto" w:sz="6" w:space="0"/>
              <w:left w:val="outset" w:color="auto" w:sz="6" w:space="0"/>
              <w:bottom w:val="outset" w:color="auto" w:sz="6" w:space="0"/>
              <w:right w:val="outset" w:color="auto" w:sz="6" w:space="0"/>
            </w:tcBorders>
          </w:tcPr>
          <w:p w14:paraId="078C68F9">
            <w:pPr>
              <w:spacing w:after="160" w:line="259" w:lineRule="auto"/>
              <w:rPr>
                <w:rFonts w:hint="default"/>
                <w:lang w:val="pt-BR"/>
              </w:rPr>
            </w:pPr>
            <w:r>
              <w:t xml:space="preserve">Indicador </w:t>
            </w:r>
            <w:r>
              <w:rPr>
                <w:rFonts w:hint="default"/>
                <w:lang w:val="pt-BR"/>
              </w:rPr>
              <w:t>5 C Nacional</w:t>
            </w:r>
          </w:p>
        </w:tc>
        <w:tc>
          <w:tcPr>
            <w:tcW w:w="6528" w:type="dxa"/>
            <w:tcBorders>
              <w:top w:val="outset" w:color="auto" w:sz="6" w:space="0"/>
              <w:left w:val="outset" w:color="auto" w:sz="6" w:space="0"/>
              <w:bottom w:val="outset" w:color="auto" w:sz="6" w:space="0"/>
              <w:right w:val="outset" w:color="auto" w:sz="6" w:space="0"/>
            </w:tcBorders>
          </w:tcPr>
          <w:p w14:paraId="46B21BC4">
            <w:pPr>
              <w:spacing w:after="160" w:line="259" w:lineRule="auto"/>
              <w:jc w:val="both"/>
              <w:rPr>
                <w:rFonts w:hint="default"/>
                <w:lang w:val="pt-BR"/>
              </w:rPr>
            </w:pPr>
            <w:r>
              <w:t xml:space="preserve"> Proficiência dos alunos do 3º ano do Ensino Fundamental em Matemática</w:t>
            </w:r>
            <w:r>
              <w:rPr>
                <w:rFonts w:hint="default"/>
                <w:lang w:val="pt-BR"/>
              </w:rPr>
              <w:t>.</w:t>
            </w:r>
          </w:p>
        </w:tc>
      </w:tr>
      <w:tr w14:paraId="478F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20" w:type="dxa"/>
          <w:wAfter w:w="7" w:type="dxa"/>
        </w:trPr>
        <w:tc>
          <w:tcPr>
            <w:tcW w:w="6508" w:type="dxa"/>
            <w:tcBorders>
              <w:top w:val="outset" w:color="auto" w:sz="6" w:space="0"/>
              <w:left w:val="outset" w:color="auto" w:sz="6" w:space="0"/>
              <w:bottom w:val="outset" w:color="auto" w:sz="6" w:space="0"/>
              <w:right w:val="outset" w:color="auto" w:sz="6" w:space="0"/>
            </w:tcBorders>
          </w:tcPr>
          <w:p w14:paraId="528120F1">
            <w:pPr>
              <w:spacing w:after="160" w:line="259" w:lineRule="auto"/>
              <w:rPr>
                <w:rFonts w:hint="default"/>
                <w:lang w:val="pt-BR"/>
              </w:rPr>
            </w:pPr>
            <w:r>
              <w:rPr>
                <w:rFonts w:hint="default"/>
                <w:lang w:val="pt-BR"/>
              </w:rPr>
              <w:t>Indicador 5 C Proposto</w:t>
            </w:r>
          </w:p>
        </w:tc>
        <w:tc>
          <w:tcPr>
            <w:tcW w:w="6528" w:type="dxa"/>
            <w:tcBorders>
              <w:top w:val="outset" w:color="auto" w:sz="6" w:space="0"/>
              <w:left w:val="outset" w:color="auto" w:sz="6" w:space="0"/>
              <w:bottom w:val="outset" w:color="auto" w:sz="6" w:space="0"/>
              <w:right w:val="outset" w:color="auto" w:sz="6" w:space="0"/>
            </w:tcBorders>
          </w:tcPr>
          <w:p w14:paraId="6DA37325">
            <w:pPr>
              <w:spacing w:after="160" w:line="259" w:lineRule="auto"/>
              <w:jc w:val="both"/>
              <w:rPr>
                <w:rFonts w:hint="default"/>
                <w:lang w:val="pt-BR"/>
              </w:rPr>
            </w:pPr>
            <w:r>
              <w:rPr>
                <w:rFonts w:hint="default"/>
                <w:lang w:val="pt-BR"/>
              </w:rPr>
              <w:t>Replicar nacional.</w:t>
            </w:r>
          </w:p>
        </w:tc>
      </w:tr>
      <w:tr w14:paraId="4B92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20" w:type="dxa"/>
          <w:wAfter w:w="7" w:type="dxa"/>
        </w:trPr>
        <w:tc>
          <w:tcPr>
            <w:tcW w:w="6508" w:type="dxa"/>
            <w:tcBorders>
              <w:top w:val="nil"/>
              <w:left w:val="outset" w:color="auto" w:sz="6" w:space="0"/>
              <w:bottom w:val="outset" w:color="auto" w:sz="6" w:space="0"/>
              <w:right w:val="outset" w:color="auto" w:sz="6" w:space="0"/>
            </w:tcBorders>
          </w:tcPr>
          <w:p w14:paraId="49686C3E">
            <w:pPr>
              <w:spacing w:after="160" w:line="259" w:lineRule="auto"/>
            </w:pPr>
            <w:r>
              <w:t>Fórmula de cálculo</w:t>
            </w:r>
          </w:p>
        </w:tc>
        <w:tc>
          <w:tcPr>
            <w:tcW w:w="6528" w:type="dxa"/>
            <w:tcBorders>
              <w:top w:val="nil"/>
              <w:left w:val="outset" w:color="auto" w:sz="6" w:space="0"/>
              <w:bottom w:val="outset" w:color="auto" w:sz="6" w:space="0"/>
              <w:right w:val="outset" w:color="auto" w:sz="6" w:space="0"/>
            </w:tcBorders>
          </w:tcPr>
          <w:p w14:paraId="5F081001">
            <w:pPr>
              <w:spacing w:after="160" w:line="259" w:lineRule="auto"/>
            </w:pPr>
            <w:r>
              <w:t>Os resultados da ANA são apresentados em percentuais de estudantes em cada escala de proficiência.</w:t>
            </w:r>
          </w:p>
        </w:tc>
      </w:tr>
      <w:tr w14:paraId="1B94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20" w:type="dxa"/>
          <w:wAfter w:w="7" w:type="dxa"/>
        </w:trPr>
        <w:tc>
          <w:tcPr>
            <w:tcW w:w="6508" w:type="dxa"/>
            <w:tcBorders>
              <w:top w:val="nil"/>
              <w:left w:val="outset" w:color="auto" w:sz="6" w:space="0"/>
              <w:bottom w:val="outset" w:color="auto" w:sz="6" w:space="0"/>
              <w:right w:val="outset" w:color="auto" w:sz="6" w:space="0"/>
            </w:tcBorders>
          </w:tcPr>
          <w:p w14:paraId="0D54238B">
            <w:pPr>
              <w:spacing w:after="160" w:line="259" w:lineRule="auto"/>
            </w:pPr>
            <w:r>
              <w:t>Comentário</w:t>
            </w:r>
          </w:p>
        </w:tc>
        <w:tc>
          <w:tcPr>
            <w:tcW w:w="6528" w:type="dxa"/>
            <w:tcBorders>
              <w:top w:val="nil"/>
              <w:left w:val="outset" w:color="auto" w:sz="6" w:space="0"/>
              <w:bottom w:val="outset" w:color="auto" w:sz="6" w:space="0"/>
              <w:right w:val="outset" w:color="auto" w:sz="6" w:space="0"/>
            </w:tcBorders>
          </w:tcPr>
          <w:p w14:paraId="24BBBAA8">
            <w:pPr>
              <w:spacing w:after="160" w:line="259" w:lineRule="auto"/>
              <w:jc w:val="both"/>
              <w:rPr>
                <w:b/>
              </w:rPr>
            </w:pPr>
            <w:r>
              <w:t xml:space="preserve">Calculado conforme Relatório do 3º Ciclo de Monitoramento das Metas do Plano Nacional de Educação - 2020 (INEP). </w:t>
            </w:r>
            <w:r>
              <w:rPr>
                <w:b/>
              </w:rPr>
              <w:t xml:space="preserve">A </w:t>
            </w:r>
            <w:r>
              <w:rPr>
                <w:rFonts w:hint="default"/>
                <w:b/>
                <w:lang w:val="pt-BR"/>
              </w:rPr>
              <w:t>partir de 2023, a Pesquisa Alfabetiza Brasil foi realizada pelo INEP determinou ponto de corte que indica a alfabetização de uma criança ao final do 2º ano do ensino fundamental. O padrão nacional de desempenho da criança alfabetizada foi estabelecido em 743 pontos na escala do SAEB. A partir dessa definição, foi possível o INEP considerar os percentuais de estudantes que apresentaram desempenho igual ou superior ao do ponto de corte, publicando os resultados por municipio, por meio de um único INDICADOR CRIANÇA ALFABETIZADA.</w:t>
            </w:r>
          </w:p>
        </w:tc>
      </w:tr>
    </w:tbl>
    <w:p w14:paraId="07BB9F34">
      <w:pPr>
        <w:rPr>
          <w:rFonts w:hint="default"/>
          <w:b/>
          <w:lang w:val="pt-BR"/>
        </w:rPr>
      </w:pPr>
      <w:r>
        <w:t xml:space="preserve"> </w:t>
      </w:r>
      <w:r>
        <w:rPr>
          <w:b/>
        </w:rPr>
        <w:t>Indicador: Indicador 5</w:t>
      </w:r>
      <w:r>
        <w:rPr>
          <w:rFonts w:hint="default"/>
          <w:b/>
          <w:lang w:val="pt-BR"/>
        </w:rPr>
        <w:t>C</w:t>
      </w:r>
    </w:p>
    <w:p w14:paraId="3C4AF047">
      <w:pPr>
        <w:rPr>
          <w:rFonts w:hint="default"/>
          <w:lang w:val="pt-BR"/>
        </w:rPr>
      </w:pPr>
      <w:r>
        <w:t xml:space="preserve">Distribuição percentual dos estudantes do 3º ano do Ensino Fundamental nos níveis de proficiência </w:t>
      </w:r>
      <w:r>
        <w:rPr>
          <w:rFonts w:hint="default"/>
          <w:lang w:val="pt-BR"/>
        </w:rPr>
        <w:t>em matemática</w:t>
      </w:r>
      <w:r>
        <w:t xml:space="preserve"> na ANA</w:t>
      </w:r>
      <w:r>
        <w:rPr>
          <w:rFonts w:hint="default"/>
          <w:lang w:val="pt-BR"/>
        </w:rPr>
        <w:t>.</w:t>
      </w:r>
    </w:p>
    <w:tbl>
      <w:tblPr>
        <w:tblStyle w:val="9"/>
        <w:tblW w:w="11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475"/>
        <w:gridCol w:w="2475"/>
        <w:gridCol w:w="2280"/>
        <w:gridCol w:w="2475"/>
        <w:gridCol w:w="2280"/>
      </w:tblGrid>
      <w:tr w14:paraId="3832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75" w:type="dxa"/>
            <w:tcBorders>
              <w:top w:val="nil"/>
              <w:left w:val="nil"/>
              <w:bottom w:val="outset" w:color="auto" w:sz="6" w:space="0"/>
              <w:right w:val="outset" w:color="auto" w:sz="6" w:space="0"/>
            </w:tcBorders>
          </w:tcPr>
          <w:p w14:paraId="511F6F4C">
            <w:r>
              <w:t>Fonte: Avaliação Nacional de Alfabetização - ANA</w:t>
            </w:r>
          </w:p>
        </w:tc>
        <w:tc>
          <w:tcPr>
            <w:tcW w:w="2475" w:type="dxa"/>
            <w:tcBorders>
              <w:top w:val="outset" w:color="auto" w:sz="6" w:space="0"/>
              <w:left w:val="outset" w:color="auto" w:sz="6" w:space="0"/>
              <w:bottom w:val="outset" w:color="auto" w:sz="6" w:space="0"/>
              <w:right w:val="outset" w:color="auto" w:sz="6" w:space="0"/>
            </w:tcBorders>
          </w:tcPr>
          <w:p w14:paraId="7A126618">
            <w:pPr>
              <w:spacing w:after="160" w:line="259" w:lineRule="auto"/>
            </w:pPr>
            <w:r>
              <w:rPr>
                <w:b/>
                <w:bCs/>
              </w:rPr>
              <w:t>Nível 1</w:t>
            </w:r>
          </w:p>
        </w:tc>
        <w:tc>
          <w:tcPr>
            <w:tcW w:w="2280" w:type="dxa"/>
            <w:tcBorders>
              <w:top w:val="outset" w:color="auto" w:sz="6" w:space="0"/>
              <w:left w:val="outset" w:color="auto" w:sz="6" w:space="0"/>
              <w:bottom w:val="outset" w:color="auto" w:sz="6" w:space="0"/>
              <w:right w:val="outset" w:color="auto" w:sz="6" w:space="0"/>
            </w:tcBorders>
          </w:tcPr>
          <w:p w14:paraId="20DF018F">
            <w:pPr>
              <w:spacing w:after="160" w:line="259" w:lineRule="auto"/>
            </w:pPr>
            <w:r>
              <w:rPr>
                <w:b/>
                <w:bCs/>
              </w:rPr>
              <w:t>Nível 2</w:t>
            </w:r>
          </w:p>
        </w:tc>
        <w:tc>
          <w:tcPr>
            <w:tcW w:w="2475" w:type="dxa"/>
            <w:tcBorders>
              <w:top w:val="outset" w:color="auto" w:sz="6" w:space="0"/>
              <w:left w:val="outset" w:color="auto" w:sz="6" w:space="0"/>
              <w:bottom w:val="outset" w:color="auto" w:sz="6" w:space="0"/>
              <w:right w:val="outset" w:color="auto" w:sz="6" w:space="0"/>
            </w:tcBorders>
          </w:tcPr>
          <w:p w14:paraId="752F5A06">
            <w:pPr>
              <w:spacing w:after="160" w:line="259" w:lineRule="auto"/>
            </w:pPr>
            <w:r>
              <w:rPr>
                <w:b/>
                <w:bCs/>
              </w:rPr>
              <w:t>Nível 3</w:t>
            </w:r>
          </w:p>
        </w:tc>
        <w:tc>
          <w:tcPr>
            <w:tcW w:w="2280" w:type="dxa"/>
            <w:tcBorders>
              <w:top w:val="outset" w:color="auto" w:sz="6" w:space="0"/>
              <w:left w:val="outset" w:color="auto" w:sz="6" w:space="0"/>
              <w:bottom w:val="outset" w:color="auto" w:sz="6" w:space="0"/>
              <w:right w:val="outset" w:color="auto" w:sz="6" w:space="0"/>
            </w:tcBorders>
          </w:tcPr>
          <w:p w14:paraId="2FBB01EC">
            <w:pPr>
              <w:spacing w:after="160" w:line="259" w:lineRule="auto"/>
            </w:pPr>
            <w:r>
              <w:rPr>
                <w:b/>
                <w:bCs/>
              </w:rPr>
              <w:t>Nível 4</w:t>
            </w:r>
          </w:p>
        </w:tc>
      </w:tr>
      <w:tr w14:paraId="73B2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75" w:type="dxa"/>
            <w:tcBorders>
              <w:top w:val="nil"/>
              <w:left w:val="outset" w:color="auto" w:sz="6" w:space="0"/>
              <w:bottom w:val="outset" w:color="auto" w:sz="6" w:space="0"/>
              <w:right w:val="outset" w:color="auto" w:sz="6" w:space="0"/>
            </w:tcBorders>
          </w:tcPr>
          <w:p w14:paraId="6D079502">
            <w:pPr>
              <w:spacing w:after="160" w:line="259" w:lineRule="auto"/>
            </w:pPr>
            <w:r>
              <w:t>2014</w:t>
            </w:r>
          </w:p>
        </w:tc>
        <w:tc>
          <w:tcPr>
            <w:tcW w:w="2475" w:type="dxa"/>
            <w:tcBorders>
              <w:top w:val="nil"/>
              <w:left w:val="outset" w:color="auto" w:sz="6" w:space="0"/>
              <w:bottom w:val="outset" w:color="auto" w:sz="6" w:space="0"/>
              <w:right w:val="outset" w:color="auto" w:sz="6" w:space="0"/>
            </w:tcBorders>
          </w:tcPr>
          <w:p w14:paraId="6CF76E44">
            <w:pPr>
              <w:spacing w:after="160" w:line="259" w:lineRule="auto"/>
            </w:pPr>
            <w:r>
              <w:t>1,5%</w:t>
            </w:r>
          </w:p>
        </w:tc>
        <w:tc>
          <w:tcPr>
            <w:tcW w:w="2280" w:type="dxa"/>
            <w:tcBorders>
              <w:top w:val="nil"/>
              <w:left w:val="outset" w:color="auto" w:sz="6" w:space="0"/>
              <w:bottom w:val="outset" w:color="auto" w:sz="6" w:space="0"/>
              <w:right w:val="outset" w:color="auto" w:sz="6" w:space="0"/>
            </w:tcBorders>
          </w:tcPr>
          <w:p w14:paraId="6542C01C">
            <w:pPr>
              <w:spacing w:after="160" w:line="259" w:lineRule="auto"/>
            </w:pPr>
            <w:r>
              <w:rPr>
                <w:rFonts w:hint="default"/>
                <w:lang w:val="pt-BR"/>
              </w:rPr>
              <w:t>24,2</w:t>
            </w:r>
            <w:r>
              <w:t>%</w:t>
            </w:r>
          </w:p>
        </w:tc>
        <w:tc>
          <w:tcPr>
            <w:tcW w:w="2475" w:type="dxa"/>
            <w:tcBorders>
              <w:top w:val="nil"/>
              <w:left w:val="outset" w:color="auto" w:sz="6" w:space="0"/>
              <w:bottom w:val="outset" w:color="auto" w:sz="6" w:space="0"/>
              <w:right w:val="outset" w:color="auto" w:sz="6" w:space="0"/>
            </w:tcBorders>
          </w:tcPr>
          <w:p w14:paraId="768D9A13">
            <w:pPr>
              <w:spacing w:after="160" w:line="259" w:lineRule="auto"/>
            </w:pPr>
            <w:r>
              <w:rPr>
                <w:rFonts w:hint="default"/>
                <w:lang w:val="pt-BR"/>
              </w:rPr>
              <w:t>21,2</w:t>
            </w:r>
            <w:r>
              <w:t>%</w:t>
            </w:r>
          </w:p>
        </w:tc>
        <w:tc>
          <w:tcPr>
            <w:tcW w:w="2280" w:type="dxa"/>
            <w:tcBorders>
              <w:top w:val="nil"/>
              <w:left w:val="outset" w:color="auto" w:sz="6" w:space="0"/>
              <w:bottom w:val="outset" w:color="auto" w:sz="6" w:space="0"/>
              <w:right w:val="outset" w:color="auto" w:sz="6" w:space="0"/>
            </w:tcBorders>
          </w:tcPr>
          <w:p w14:paraId="274AC635">
            <w:pPr>
              <w:spacing w:after="160" w:line="259" w:lineRule="auto"/>
              <w:rPr>
                <w:rFonts w:hint="default"/>
                <w:lang w:val="pt-BR"/>
              </w:rPr>
            </w:pPr>
            <w:r>
              <w:rPr>
                <w:rFonts w:hint="default"/>
                <w:lang w:val="pt-BR"/>
              </w:rPr>
              <w:t>53,0%</w:t>
            </w:r>
          </w:p>
        </w:tc>
      </w:tr>
      <w:tr w14:paraId="6852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75" w:type="dxa"/>
            <w:tcBorders>
              <w:top w:val="nil"/>
              <w:left w:val="outset" w:color="auto" w:sz="6" w:space="0"/>
              <w:bottom w:val="nil"/>
              <w:right w:val="outset" w:color="auto" w:sz="6" w:space="0"/>
            </w:tcBorders>
          </w:tcPr>
          <w:p w14:paraId="0698100F">
            <w:pPr>
              <w:spacing w:after="160" w:line="259" w:lineRule="auto"/>
            </w:pPr>
            <w:r>
              <w:t>2016</w:t>
            </w:r>
          </w:p>
        </w:tc>
        <w:tc>
          <w:tcPr>
            <w:tcW w:w="2475" w:type="dxa"/>
            <w:tcBorders>
              <w:top w:val="nil"/>
              <w:left w:val="outset" w:color="auto" w:sz="6" w:space="0"/>
              <w:bottom w:val="nil"/>
              <w:right w:val="outset" w:color="auto" w:sz="6" w:space="0"/>
            </w:tcBorders>
          </w:tcPr>
          <w:p w14:paraId="2ED7A0C3">
            <w:pPr>
              <w:spacing w:after="160" w:line="259" w:lineRule="auto"/>
            </w:pPr>
            <w:r>
              <w:rPr>
                <w:rFonts w:hint="default"/>
                <w:lang w:val="pt-BR"/>
              </w:rPr>
              <w:t>3,4</w:t>
            </w:r>
            <w:r>
              <w:t>%</w:t>
            </w:r>
          </w:p>
        </w:tc>
        <w:tc>
          <w:tcPr>
            <w:tcW w:w="2280" w:type="dxa"/>
            <w:tcBorders>
              <w:top w:val="nil"/>
              <w:left w:val="outset" w:color="auto" w:sz="6" w:space="0"/>
              <w:bottom w:val="nil"/>
              <w:right w:val="outset" w:color="auto" w:sz="6" w:space="0"/>
            </w:tcBorders>
          </w:tcPr>
          <w:p w14:paraId="29819CEF">
            <w:pPr>
              <w:spacing w:after="160" w:line="259" w:lineRule="auto"/>
            </w:pPr>
            <w:r>
              <w:rPr>
                <w:rFonts w:hint="default"/>
                <w:lang w:val="pt-BR"/>
              </w:rPr>
              <w:t>21,3</w:t>
            </w:r>
            <w:r>
              <w:t>%</w:t>
            </w:r>
          </w:p>
        </w:tc>
        <w:tc>
          <w:tcPr>
            <w:tcW w:w="2475" w:type="dxa"/>
            <w:tcBorders>
              <w:top w:val="nil"/>
              <w:left w:val="outset" w:color="auto" w:sz="6" w:space="0"/>
              <w:bottom w:val="nil"/>
              <w:right w:val="outset" w:color="auto" w:sz="6" w:space="0"/>
            </w:tcBorders>
          </w:tcPr>
          <w:p w14:paraId="39C1C405">
            <w:pPr>
              <w:spacing w:after="160" w:line="259" w:lineRule="auto"/>
            </w:pPr>
            <w:r>
              <w:rPr>
                <w:rFonts w:hint="default"/>
                <w:lang w:val="pt-BR"/>
              </w:rPr>
              <w:t>18,0</w:t>
            </w:r>
            <w:r>
              <w:t>%</w:t>
            </w:r>
          </w:p>
        </w:tc>
        <w:tc>
          <w:tcPr>
            <w:tcW w:w="2280" w:type="dxa"/>
            <w:tcBorders>
              <w:top w:val="nil"/>
              <w:left w:val="outset" w:color="auto" w:sz="6" w:space="0"/>
              <w:bottom w:val="nil"/>
              <w:right w:val="outset" w:color="auto" w:sz="6" w:space="0"/>
            </w:tcBorders>
          </w:tcPr>
          <w:p w14:paraId="50C95F1D">
            <w:pPr>
              <w:spacing w:after="160" w:line="259" w:lineRule="auto"/>
            </w:pPr>
            <w:r>
              <w:rPr>
                <w:rFonts w:hint="default"/>
                <w:lang w:val="pt-BR"/>
              </w:rPr>
              <w:t>57,3</w:t>
            </w:r>
            <w:r>
              <w:t>%</w:t>
            </w:r>
          </w:p>
        </w:tc>
      </w:tr>
      <w:tr w14:paraId="20E6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75" w:type="dxa"/>
            <w:tcBorders>
              <w:top w:val="nil"/>
              <w:left w:val="outset" w:color="auto" w:sz="6" w:space="0"/>
              <w:bottom w:val="outset" w:color="auto" w:sz="6" w:space="0"/>
              <w:right w:val="outset" w:color="auto" w:sz="6" w:space="0"/>
            </w:tcBorders>
          </w:tcPr>
          <w:p w14:paraId="79987B47">
            <w:pPr>
              <w:spacing w:after="160" w:line="259" w:lineRule="auto"/>
              <w:rPr>
                <w:rFonts w:hint="default"/>
                <w:lang w:val="pt-BR"/>
              </w:rPr>
            </w:pPr>
            <w:r>
              <w:rPr>
                <w:rFonts w:hint="default"/>
                <w:lang w:val="pt-BR"/>
              </w:rPr>
              <w:t>2023</w:t>
            </w:r>
          </w:p>
        </w:tc>
        <w:tc>
          <w:tcPr>
            <w:tcW w:w="2475" w:type="dxa"/>
            <w:tcBorders>
              <w:top w:val="nil"/>
              <w:left w:val="outset" w:color="auto" w:sz="6" w:space="0"/>
              <w:bottom w:val="outset" w:color="auto" w:sz="6" w:space="0"/>
              <w:right w:val="outset" w:color="auto" w:sz="6" w:space="0"/>
            </w:tcBorders>
          </w:tcPr>
          <w:p w14:paraId="668FAFC3">
            <w:pPr>
              <w:spacing w:after="160" w:line="259" w:lineRule="auto"/>
              <w:rPr>
                <w:rFonts w:hint="default"/>
                <w:lang w:val="pt-BR"/>
              </w:rPr>
            </w:pPr>
            <w:r>
              <w:rPr>
                <w:rFonts w:hint="default"/>
                <w:lang w:val="pt-BR"/>
              </w:rPr>
              <w:t>97,4%</w:t>
            </w:r>
          </w:p>
        </w:tc>
        <w:tc>
          <w:tcPr>
            <w:tcW w:w="2280" w:type="dxa"/>
            <w:tcBorders>
              <w:top w:val="nil"/>
              <w:left w:val="outset" w:color="auto" w:sz="6" w:space="0"/>
              <w:bottom w:val="outset" w:color="auto" w:sz="6" w:space="0"/>
              <w:right w:val="outset" w:color="auto" w:sz="6" w:space="0"/>
            </w:tcBorders>
            <w:shd w:val="clear" w:color="auto" w:fill="auto"/>
            <w:vAlign w:val="top"/>
          </w:tcPr>
          <w:p w14:paraId="1365C097">
            <w:pPr>
              <w:spacing w:after="160" w:line="259" w:lineRule="auto"/>
              <w:rPr>
                <w:rFonts w:hint="default" w:asciiTheme="minorHAnsi" w:hAnsiTheme="minorHAnsi" w:eastAsiaTheme="minorHAnsi" w:cstheme="minorBidi"/>
                <w:sz w:val="22"/>
                <w:szCs w:val="22"/>
                <w:lang w:val="pt-BR" w:eastAsia="en-US" w:bidi="ar-SA"/>
              </w:rPr>
            </w:pPr>
            <w:r>
              <w:rPr>
                <w:rFonts w:hint="default"/>
                <w:lang w:val="pt-BR"/>
              </w:rPr>
              <w:t>Fonte : Indicador Criança</w:t>
            </w:r>
          </w:p>
        </w:tc>
        <w:tc>
          <w:tcPr>
            <w:tcW w:w="2475" w:type="dxa"/>
            <w:tcBorders>
              <w:top w:val="nil"/>
              <w:left w:val="outset" w:color="auto" w:sz="6" w:space="0"/>
              <w:bottom w:val="outset" w:color="auto" w:sz="6" w:space="0"/>
              <w:right w:val="outset" w:color="auto" w:sz="6" w:space="0"/>
            </w:tcBorders>
            <w:shd w:val="clear" w:color="auto" w:fill="auto"/>
            <w:vAlign w:val="top"/>
          </w:tcPr>
          <w:p w14:paraId="1AAA048E">
            <w:pPr>
              <w:spacing w:after="160" w:line="259" w:lineRule="auto"/>
              <w:rPr>
                <w:rFonts w:hint="default" w:asciiTheme="minorHAnsi" w:hAnsiTheme="minorHAnsi" w:eastAsiaTheme="minorHAnsi" w:cstheme="minorBidi"/>
                <w:sz w:val="22"/>
                <w:szCs w:val="22"/>
                <w:lang w:val="pt-BR" w:eastAsia="en-US" w:bidi="ar-SA"/>
              </w:rPr>
            </w:pPr>
            <w:r>
              <w:rPr>
                <w:rFonts w:hint="default"/>
                <w:lang w:val="pt-BR"/>
              </w:rPr>
              <w:t>Alfabetizada INEP.</w:t>
            </w:r>
          </w:p>
        </w:tc>
        <w:tc>
          <w:tcPr>
            <w:tcW w:w="2280" w:type="dxa"/>
            <w:tcBorders>
              <w:top w:val="nil"/>
              <w:left w:val="outset" w:color="auto" w:sz="6" w:space="0"/>
              <w:bottom w:val="outset" w:color="auto" w:sz="6" w:space="0"/>
              <w:right w:val="outset" w:color="auto" w:sz="6" w:space="0"/>
            </w:tcBorders>
          </w:tcPr>
          <w:p w14:paraId="4B11D98E">
            <w:pPr>
              <w:spacing w:after="160" w:line="259" w:lineRule="auto"/>
              <w:rPr>
                <w:rFonts w:hint="default"/>
                <w:lang w:val="pt-BR"/>
              </w:rPr>
            </w:pPr>
          </w:p>
        </w:tc>
      </w:tr>
    </w:tbl>
    <w:p w14:paraId="20555F15">
      <w:pPr>
        <w:ind w:firstLine="708" w:firstLineChars="0"/>
        <w:jc w:val="both"/>
      </w:pPr>
    </w:p>
    <w:p w14:paraId="3B2A7B3A">
      <w:pPr>
        <w:spacing w:line="360" w:lineRule="auto"/>
        <w:ind w:firstLine="708" w:firstLineChars="0"/>
        <w:jc w:val="both"/>
      </w:pPr>
      <w:r>
        <w:t>Para garantir a alfabetização dos alunos até a idade de 8 anos, como, proposto na meta supracitada, o Departamento Municipal de Educação juntamente com os professores da rede municipal de educação, atuam incessantemente para melhorar a aprendizagem dos alunos, aperfeiçoando assim, as práticas de planejamento, bem como, a formação continuada para os professores.</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8"/>
        <w:gridCol w:w="6529"/>
      </w:tblGrid>
      <w:tr w14:paraId="1D43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2E38E358">
            <w:pPr>
              <w:pStyle w:val="16"/>
              <w:numPr>
                <w:ilvl w:val="0"/>
                <w:numId w:val="0"/>
              </w:numPr>
              <w:jc w:val="center"/>
              <w:rPr>
                <w:rFonts w:hint="default"/>
                <w:b/>
                <w:vertAlign w:val="baseline"/>
                <w:lang w:val="pt-BR"/>
              </w:rPr>
            </w:pPr>
            <w:r>
              <w:rPr>
                <w:rFonts w:hint="default"/>
                <w:b/>
                <w:vertAlign w:val="baseline"/>
                <w:lang w:val="pt-BR"/>
              </w:rPr>
              <w:t>Ficha metodológica para o indicador 5A</w:t>
            </w:r>
            <w:r>
              <w:rPr>
                <w:rFonts w:hint="default"/>
                <w:b/>
                <w:bCs w:val="0"/>
                <w:vertAlign w:val="baseline"/>
                <w:lang w:val="pt-BR"/>
              </w:rPr>
              <w:t xml:space="preserve"> </w:t>
            </w:r>
            <w:r>
              <w:rPr>
                <w:rFonts w:hint="default"/>
                <w:b/>
                <w:vertAlign w:val="baseline"/>
                <w:lang w:val="pt-BR"/>
              </w:rPr>
              <w:t>- base PNE</w:t>
            </w:r>
          </w:p>
        </w:tc>
      </w:tr>
      <w:tr w14:paraId="0DAC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8" w:type="dxa"/>
            <w:tcBorders>
              <w:top w:val="outset" w:color="auto" w:sz="6" w:space="0"/>
              <w:left w:val="outset" w:color="auto" w:sz="6" w:space="0"/>
              <w:bottom w:val="outset" w:color="auto" w:sz="6" w:space="0"/>
              <w:right w:val="outset" w:color="auto" w:sz="6" w:space="0"/>
            </w:tcBorders>
          </w:tcPr>
          <w:p w14:paraId="7E21FBA9">
            <w:pPr>
              <w:spacing w:after="160" w:line="259" w:lineRule="auto"/>
              <w:rPr>
                <w:b/>
              </w:rPr>
            </w:pPr>
            <w:r>
              <w:rPr>
                <w:b/>
              </w:rPr>
              <w:t>Meta</w:t>
            </w:r>
          </w:p>
        </w:tc>
        <w:tc>
          <w:tcPr>
            <w:tcW w:w="6528" w:type="dxa"/>
            <w:tcBorders>
              <w:top w:val="outset" w:color="auto" w:sz="6" w:space="0"/>
              <w:left w:val="outset" w:color="auto" w:sz="6" w:space="0"/>
              <w:bottom w:val="outset" w:color="auto" w:sz="6" w:space="0"/>
              <w:right w:val="outset" w:color="auto" w:sz="6" w:space="0"/>
            </w:tcBorders>
          </w:tcPr>
          <w:p w14:paraId="45BE4EB6">
            <w:pPr>
              <w:spacing w:after="160" w:line="259" w:lineRule="auto"/>
              <w:rPr>
                <w:b/>
              </w:rPr>
            </w:pPr>
            <w:r>
              <w:rPr>
                <w:b/>
              </w:rPr>
              <w:t>Texto da meta</w:t>
            </w:r>
          </w:p>
        </w:tc>
      </w:tr>
      <w:tr w14:paraId="15FF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8" w:type="dxa"/>
            <w:tcBorders>
              <w:top w:val="nil"/>
              <w:left w:val="outset" w:color="auto" w:sz="6" w:space="0"/>
              <w:bottom w:val="outset" w:color="auto" w:sz="6" w:space="0"/>
              <w:right w:val="outset" w:color="auto" w:sz="6" w:space="0"/>
            </w:tcBorders>
          </w:tcPr>
          <w:p w14:paraId="48BB58EA">
            <w:pPr>
              <w:spacing w:after="160" w:line="259" w:lineRule="auto"/>
            </w:pPr>
            <w:r>
              <w:t>6</w:t>
            </w:r>
          </w:p>
        </w:tc>
        <w:tc>
          <w:tcPr>
            <w:tcW w:w="6528" w:type="dxa"/>
            <w:tcBorders>
              <w:top w:val="nil"/>
              <w:left w:val="outset" w:color="auto" w:sz="6" w:space="0"/>
              <w:bottom w:val="outset" w:color="auto" w:sz="6" w:space="0"/>
              <w:right w:val="outset" w:color="auto" w:sz="6" w:space="0"/>
            </w:tcBorders>
          </w:tcPr>
          <w:p w14:paraId="0A3397C3">
            <w:pPr>
              <w:spacing w:after="160" w:line="259" w:lineRule="auto"/>
              <w:jc w:val="both"/>
            </w:pPr>
            <w:r>
              <w:t>Oferecer educação em tempo integral em, no mínimo, 50% (cinquenta por cento) das escolas públicas, de forma a atender, pelo menos, 25% (vinte e cinco por cento) dos (as) alunos(as) da educação básica.</w:t>
            </w:r>
          </w:p>
        </w:tc>
      </w:tr>
      <w:tr w14:paraId="57ED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7" w:type="dxa"/>
            <w:tcBorders>
              <w:top w:val="outset" w:color="auto" w:sz="6" w:space="0"/>
              <w:left w:val="outset" w:color="auto" w:sz="6" w:space="0"/>
              <w:bottom w:val="outset" w:color="auto" w:sz="6" w:space="0"/>
              <w:right w:val="outset" w:color="auto" w:sz="6" w:space="0"/>
            </w:tcBorders>
          </w:tcPr>
          <w:p w14:paraId="7CCE7F97">
            <w:pPr>
              <w:rPr>
                <w:rFonts w:hint="default"/>
                <w:lang w:val="pt-BR"/>
              </w:rPr>
            </w:pPr>
            <w:r>
              <w:rPr>
                <w:b/>
              </w:rPr>
              <w:t xml:space="preserve"> </w:t>
            </w:r>
            <w:r>
              <w:t xml:space="preserve">Indicador </w:t>
            </w:r>
            <w:r>
              <w:rPr>
                <w:rFonts w:hint="default"/>
                <w:lang w:val="pt-BR"/>
              </w:rPr>
              <w:t xml:space="preserve">6A Nacional </w:t>
            </w:r>
          </w:p>
        </w:tc>
        <w:tc>
          <w:tcPr>
            <w:tcW w:w="6529" w:type="dxa"/>
            <w:tcBorders>
              <w:top w:val="outset" w:color="auto" w:sz="6" w:space="0"/>
              <w:left w:val="outset" w:color="auto" w:sz="6" w:space="0"/>
              <w:bottom w:val="outset" w:color="auto" w:sz="6" w:space="0"/>
              <w:right w:val="outset" w:color="auto" w:sz="6" w:space="0"/>
            </w:tcBorders>
          </w:tcPr>
          <w:p w14:paraId="14D616DC">
            <w:pPr>
              <w:spacing w:after="160" w:line="259" w:lineRule="auto"/>
              <w:jc w:val="both"/>
              <w:rPr>
                <w:rFonts w:hint="default"/>
                <w:lang w:val="pt-BR"/>
              </w:rPr>
            </w:pPr>
            <w:r>
              <w:t>Percentual de alunos da educação básica pública que pertencem ao público alvo da ETI e que estão em jornada de tempo integral- Replica do Nacional</w:t>
            </w:r>
            <w:r>
              <w:rPr>
                <w:rFonts w:hint="default"/>
                <w:lang w:val="pt-BR"/>
              </w:rPr>
              <w:t>.</w:t>
            </w:r>
          </w:p>
        </w:tc>
      </w:tr>
      <w:tr w14:paraId="0C9E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7" w:type="dxa"/>
            <w:tcBorders>
              <w:top w:val="outset" w:color="auto" w:sz="6" w:space="0"/>
              <w:left w:val="outset" w:color="auto" w:sz="6" w:space="0"/>
              <w:bottom w:val="outset" w:color="auto" w:sz="6" w:space="0"/>
              <w:right w:val="outset" w:color="auto" w:sz="6" w:space="0"/>
            </w:tcBorders>
          </w:tcPr>
          <w:p w14:paraId="78BF8245">
            <w:pPr>
              <w:rPr>
                <w:rFonts w:hint="default"/>
                <w:b/>
                <w:lang w:val="pt-BR"/>
              </w:rPr>
            </w:pPr>
            <w:r>
              <w:rPr>
                <w:rFonts w:hint="default"/>
                <w:b w:val="0"/>
                <w:bCs/>
                <w:lang w:val="pt-BR"/>
              </w:rPr>
              <w:t>Indicador 6A Proposto</w:t>
            </w:r>
          </w:p>
        </w:tc>
        <w:tc>
          <w:tcPr>
            <w:tcW w:w="6529" w:type="dxa"/>
            <w:tcBorders>
              <w:top w:val="outset" w:color="auto" w:sz="6" w:space="0"/>
              <w:left w:val="outset" w:color="auto" w:sz="6" w:space="0"/>
              <w:bottom w:val="outset" w:color="auto" w:sz="6" w:space="0"/>
              <w:right w:val="outset" w:color="auto" w:sz="6" w:space="0"/>
            </w:tcBorders>
          </w:tcPr>
          <w:p w14:paraId="10D3033A">
            <w:pPr>
              <w:spacing w:after="160" w:line="259" w:lineRule="auto"/>
              <w:jc w:val="both"/>
              <w:rPr>
                <w:rFonts w:hint="default"/>
                <w:lang w:val="pt-BR"/>
              </w:rPr>
            </w:pPr>
            <w:r>
              <w:rPr>
                <w:rFonts w:hint="default"/>
                <w:lang w:val="pt-BR"/>
              </w:rPr>
              <w:t>Replicar o nacional.</w:t>
            </w:r>
          </w:p>
        </w:tc>
      </w:tr>
      <w:tr w14:paraId="17D8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7" w:type="dxa"/>
            <w:tcBorders>
              <w:top w:val="nil"/>
              <w:left w:val="outset" w:color="auto" w:sz="6" w:space="0"/>
              <w:bottom w:val="outset" w:color="auto" w:sz="6" w:space="0"/>
              <w:right w:val="outset" w:color="auto" w:sz="6" w:space="0"/>
            </w:tcBorders>
          </w:tcPr>
          <w:p w14:paraId="35FE892E">
            <w:pPr>
              <w:spacing w:after="160" w:line="259" w:lineRule="auto"/>
            </w:pPr>
            <w:r>
              <w:t>Fórmula de cálculo</w:t>
            </w:r>
          </w:p>
        </w:tc>
        <w:tc>
          <w:tcPr>
            <w:tcW w:w="6529"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6499"/>
            </w:tblGrid>
            <w:tr w14:paraId="2B195E44">
              <w:tblPrEx>
                <w:tblCellMar>
                  <w:top w:w="15" w:type="dxa"/>
                  <w:left w:w="15" w:type="dxa"/>
                  <w:bottom w:w="15" w:type="dxa"/>
                  <w:right w:w="15" w:type="dxa"/>
                </w:tblCellMar>
              </w:tblPrEx>
              <w:tc>
                <w:tcPr>
                  <w:tcW w:w="0" w:type="auto"/>
                  <w:tcBorders>
                    <w:top w:val="nil"/>
                    <w:left w:val="nil"/>
                    <w:bottom w:val="nil"/>
                    <w:right w:val="nil"/>
                  </w:tcBorders>
                </w:tcPr>
                <w:p w14:paraId="2D386DAB">
                  <w:pPr>
                    <w:jc w:val="both"/>
                    <w:rPr>
                      <w:rFonts w:hint="default"/>
                      <w:lang w:val="pt-BR"/>
                    </w:rPr>
                  </w:pPr>
                  <w:r>
                    <w:t>(Número de alunos ETI / Número de alunos matriculados na educação básica pública) x 100</w:t>
                  </w:r>
                  <w:r>
                    <w:rPr>
                      <w:rFonts w:hint="default"/>
                      <w:lang w:val="pt-BR"/>
                    </w:rPr>
                    <w:t>.</w:t>
                  </w:r>
                </w:p>
              </w:tc>
            </w:tr>
          </w:tbl>
          <w:p w14:paraId="15DE2680">
            <w:pPr>
              <w:spacing w:after="160" w:line="259" w:lineRule="auto"/>
              <w:jc w:val="both"/>
            </w:pPr>
          </w:p>
        </w:tc>
      </w:tr>
      <w:tr w14:paraId="48B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7" w:type="dxa"/>
            <w:tcBorders>
              <w:top w:val="nil"/>
              <w:left w:val="outset" w:color="auto" w:sz="6" w:space="0"/>
              <w:bottom w:val="outset" w:color="auto" w:sz="6" w:space="0"/>
              <w:right w:val="outset" w:color="auto" w:sz="6" w:space="0"/>
            </w:tcBorders>
          </w:tcPr>
          <w:p w14:paraId="47E1F20D">
            <w:pPr>
              <w:spacing w:after="160" w:line="259" w:lineRule="auto"/>
            </w:pPr>
            <w:r>
              <w:t>comentário</w:t>
            </w:r>
          </w:p>
        </w:tc>
        <w:tc>
          <w:tcPr>
            <w:tcW w:w="6529"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225"/>
              <w:gridCol w:w="6274"/>
            </w:tblGrid>
            <w:tr w14:paraId="0C531349">
              <w:tblPrEx>
                <w:tblCellMar>
                  <w:top w:w="15" w:type="dxa"/>
                  <w:left w:w="15" w:type="dxa"/>
                  <w:bottom w:w="15" w:type="dxa"/>
                  <w:right w:w="15" w:type="dxa"/>
                </w:tblCellMar>
              </w:tblPrEx>
              <w:tc>
                <w:tcPr>
                  <w:tcW w:w="225" w:type="dxa"/>
                  <w:tcBorders>
                    <w:top w:val="nil"/>
                    <w:left w:val="nil"/>
                    <w:bottom w:val="nil"/>
                    <w:right w:val="nil"/>
                  </w:tcBorders>
                </w:tcPr>
                <w:p w14:paraId="19306A10">
                  <w:pPr>
                    <w:jc w:val="both"/>
                  </w:pPr>
                </w:p>
                <w:p w14:paraId="5CBC71DE">
                  <w:pPr>
                    <w:jc w:val="both"/>
                  </w:pPr>
                </w:p>
              </w:tc>
              <w:tc>
                <w:tcPr>
                  <w:tcW w:w="0" w:type="auto"/>
                  <w:tcBorders>
                    <w:top w:val="nil"/>
                    <w:left w:val="nil"/>
                    <w:bottom w:val="nil"/>
                    <w:right w:val="nil"/>
                  </w:tcBorders>
                </w:tcPr>
                <w:p w14:paraId="263DFA1A">
                  <w:pPr>
                    <w:jc w:val="both"/>
                  </w:pPr>
                  <w:r>
                    <w:t>Calculado conforme Relatório do 3º Ciclo de Monitoramento das Metas do Plano Nacional de Educação - 2020 (INEP).</w:t>
                  </w:r>
                  <w:r>
                    <w:rPr>
                      <w:b/>
                      <w:bCs/>
                    </w:rPr>
                    <w:t xml:space="preserve">Público Alvo da ETI </w:t>
                  </w:r>
                  <w:r>
                    <w:t xml:space="preserve">= são os alunos da educação básica cujas matrículas de escolarização são em escola pública, presenciais e não pertencem à Educação de Jovens e Adultos nem à Educação Profissional Técnica de Nível Médio, oferecida na forma Subsequente ou Concomitante; </w:t>
                  </w:r>
                  <w:r>
                    <w:rPr>
                      <w:b/>
                      <w:bCs/>
                    </w:rPr>
                    <w:t xml:space="preserve">Jornada de Tempo Integral </w:t>
                  </w:r>
                  <w:r>
                    <w:t>= é a jornada cuja duração é, em média, igual ou superior a sete horas diárias, contabilizada a partir da soma da carga horária da matrícula de escolarização do aluno na escola pública com a carga horária total das matrículas de Atividade Complementar (AC) e/ou de Atendimento Educacional Especializado (AEE) realizadas em instituições públicas e/ou privadas.</w:t>
                  </w:r>
                </w:p>
              </w:tc>
            </w:tr>
          </w:tbl>
          <w:p w14:paraId="2872D283">
            <w:pPr>
              <w:spacing w:after="160" w:line="259" w:lineRule="auto"/>
              <w:jc w:val="both"/>
            </w:pPr>
          </w:p>
        </w:tc>
      </w:tr>
    </w:tbl>
    <w:p w14:paraId="14130013">
      <w:pPr>
        <w:rPr>
          <w:vertAlign w:val="baseline"/>
        </w:rPr>
      </w:pPr>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4"/>
        <w:gridCol w:w="1350"/>
        <w:gridCol w:w="1282"/>
        <w:gridCol w:w="1077"/>
        <w:gridCol w:w="996"/>
        <w:gridCol w:w="1104"/>
        <w:gridCol w:w="1064"/>
        <w:gridCol w:w="1050"/>
        <w:gridCol w:w="995"/>
        <w:gridCol w:w="873"/>
        <w:gridCol w:w="904"/>
      </w:tblGrid>
      <w:tr w14:paraId="7EBC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5" w:type="dxa"/>
            <w:gridSpan w:val="10"/>
          </w:tcPr>
          <w:p w14:paraId="77299CBF">
            <w:pPr>
              <w:jc w:val="center"/>
              <w:rPr>
                <w:rFonts w:hint="default"/>
                <w:b/>
                <w:bCs/>
                <w:vertAlign w:val="baseline"/>
                <w:lang w:val="pt-BR"/>
              </w:rPr>
            </w:pPr>
            <w:r>
              <w:rPr>
                <w:rFonts w:hint="default"/>
                <w:b/>
                <w:bCs/>
                <w:vertAlign w:val="baseline"/>
                <w:lang w:val="pt-BR"/>
              </w:rPr>
              <w:t>Dados/Indicadores: Indicador 6A</w:t>
            </w:r>
          </w:p>
        </w:tc>
        <w:tc>
          <w:tcPr>
            <w:tcW w:w="904" w:type="dxa"/>
          </w:tcPr>
          <w:p w14:paraId="47DA025B">
            <w:pPr>
              <w:jc w:val="center"/>
              <w:rPr>
                <w:rFonts w:hint="default"/>
                <w:b/>
                <w:bCs/>
                <w:vertAlign w:val="baseline"/>
                <w:lang w:val="pt-BR"/>
              </w:rPr>
            </w:pPr>
          </w:p>
        </w:tc>
      </w:tr>
      <w:tr w14:paraId="1228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34" w:type="dxa"/>
            <w:tcBorders>
              <w:top w:val="outset" w:color="auto" w:sz="6" w:space="0"/>
              <w:left w:val="outset" w:color="auto" w:sz="6" w:space="0"/>
              <w:bottom w:val="outset" w:color="auto" w:sz="6" w:space="0"/>
              <w:right w:val="outset" w:color="auto" w:sz="6" w:space="0"/>
            </w:tcBorders>
          </w:tcPr>
          <w:p w14:paraId="04BAF6AA">
            <w:pPr>
              <w:spacing w:after="160" w:line="259" w:lineRule="auto"/>
              <w:rPr>
                <w:rFonts w:hint="default"/>
                <w:lang w:val="pt-BR"/>
              </w:rPr>
            </w:pPr>
            <w:r>
              <w:rPr>
                <w:rFonts w:hint="default"/>
                <w:lang w:val="pt-BR"/>
              </w:rPr>
              <w:t xml:space="preserve">Ano </w:t>
            </w:r>
          </w:p>
        </w:tc>
        <w:tc>
          <w:tcPr>
            <w:tcW w:w="1350" w:type="dxa"/>
            <w:tcBorders>
              <w:top w:val="outset" w:color="auto" w:sz="6" w:space="0"/>
              <w:left w:val="outset" w:color="auto" w:sz="6" w:space="0"/>
              <w:bottom w:val="outset" w:color="auto" w:sz="6" w:space="0"/>
              <w:right w:val="outset" w:color="auto" w:sz="6" w:space="0"/>
            </w:tcBorders>
          </w:tcPr>
          <w:p w14:paraId="78487369">
            <w:pPr>
              <w:spacing w:after="160" w:line="259" w:lineRule="auto"/>
            </w:pPr>
            <w:r>
              <w:t>2014</w:t>
            </w:r>
          </w:p>
        </w:tc>
        <w:tc>
          <w:tcPr>
            <w:tcW w:w="1282" w:type="dxa"/>
            <w:tcBorders>
              <w:top w:val="outset" w:color="auto" w:sz="6" w:space="0"/>
              <w:left w:val="outset" w:color="auto" w:sz="6" w:space="0"/>
              <w:bottom w:val="outset" w:color="auto" w:sz="6" w:space="0"/>
              <w:right w:val="outset" w:color="auto" w:sz="6" w:space="0"/>
            </w:tcBorders>
          </w:tcPr>
          <w:p w14:paraId="48B04E56">
            <w:pPr>
              <w:spacing w:after="160" w:line="259" w:lineRule="auto"/>
            </w:pPr>
            <w:r>
              <w:t>2015</w:t>
            </w:r>
          </w:p>
        </w:tc>
        <w:tc>
          <w:tcPr>
            <w:tcW w:w="1077" w:type="dxa"/>
            <w:tcBorders>
              <w:top w:val="outset" w:color="auto" w:sz="6" w:space="0"/>
              <w:left w:val="outset" w:color="auto" w:sz="6" w:space="0"/>
              <w:bottom w:val="outset" w:color="auto" w:sz="6" w:space="0"/>
              <w:right w:val="outset" w:color="auto" w:sz="6" w:space="0"/>
            </w:tcBorders>
          </w:tcPr>
          <w:p w14:paraId="4BDE01A2">
            <w:pPr>
              <w:spacing w:after="160" w:line="259" w:lineRule="auto"/>
            </w:pPr>
            <w:r>
              <w:t>2016</w:t>
            </w:r>
          </w:p>
        </w:tc>
        <w:tc>
          <w:tcPr>
            <w:tcW w:w="996" w:type="dxa"/>
            <w:tcBorders>
              <w:top w:val="outset" w:color="auto" w:sz="6" w:space="0"/>
              <w:left w:val="outset" w:color="auto" w:sz="6" w:space="0"/>
              <w:bottom w:val="outset" w:color="auto" w:sz="6" w:space="0"/>
              <w:right w:val="outset" w:color="auto" w:sz="6" w:space="0"/>
            </w:tcBorders>
          </w:tcPr>
          <w:p w14:paraId="19152866">
            <w:pPr>
              <w:spacing w:after="160" w:line="259" w:lineRule="auto"/>
            </w:pPr>
            <w:r>
              <w:t>2017</w:t>
            </w:r>
          </w:p>
        </w:tc>
        <w:tc>
          <w:tcPr>
            <w:tcW w:w="1104" w:type="dxa"/>
            <w:tcBorders>
              <w:top w:val="outset" w:color="auto" w:sz="6" w:space="0"/>
              <w:left w:val="outset" w:color="auto" w:sz="6" w:space="0"/>
              <w:bottom w:val="outset" w:color="auto" w:sz="6" w:space="0"/>
              <w:right w:val="outset" w:color="auto" w:sz="6" w:space="0"/>
            </w:tcBorders>
          </w:tcPr>
          <w:p w14:paraId="04CF7667">
            <w:pPr>
              <w:spacing w:after="160" w:line="259" w:lineRule="auto"/>
            </w:pPr>
            <w:r>
              <w:t>2018</w:t>
            </w:r>
          </w:p>
        </w:tc>
        <w:tc>
          <w:tcPr>
            <w:tcW w:w="1064" w:type="dxa"/>
            <w:tcBorders>
              <w:top w:val="outset" w:color="auto" w:sz="6" w:space="0"/>
              <w:left w:val="outset" w:color="auto" w:sz="6" w:space="0"/>
              <w:bottom w:val="outset" w:color="auto" w:sz="6" w:space="0"/>
              <w:right w:val="outset" w:color="auto" w:sz="6" w:space="0"/>
            </w:tcBorders>
          </w:tcPr>
          <w:p w14:paraId="1ABB6206">
            <w:pPr>
              <w:spacing w:after="160" w:line="259" w:lineRule="auto"/>
            </w:pPr>
            <w:r>
              <w:t>2019</w:t>
            </w:r>
          </w:p>
        </w:tc>
        <w:tc>
          <w:tcPr>
            <w:tcW w:w="1050" w:type="dxa"/>
            <w:tcBorders>
              <w:top w:val="outset" w:color="auto" w:sz="6" w:space="0"/>
              <w:left w:val="outset" w:color="auto" w:sz="6" w:space="0"/>
              <w:bottom w:val="outset" w:color="auto" w:sz="6" w:space="0"/>
              <w:right w:val="outset" w:color="auto" w:sz="6" w:space="0"/>
            </w:tcBorders>
          </w:tcPr>
          <w:p w14:paraId="45D7D2D4">
            <w:pPr>
              <w:spacing w:after="160" w:line="259" w:lineRule="auto"/>
            </w:pPr>
            <w:r>
              <w:t>2020</w:t>
            </w:r>
          </w:p>
        </w:tc>
        <w:tc>
          <w:tcPr>
            <w:tcW w:w="995" w:type="dxa"/>
            <w:tcBorders>
              <w:top w:val="outset" w:color="auto" w:sz="6" w:space="0"/>
              <w:left w:val="outset" w:color="auto" w:sz="6" w:space="0"/>
              <w:bottom w:val="outset" w:color="auto" w:sz="6" w:space="0"/>
              <w:right w:val="outset" w:color="auto" w:sz="6" w:space="0"/>
            </w:tcBorders>
          </w:tcPr>
          <w:p w14:paraId="5576FA5C">
            <w:pPr>
              <w:spacing w:after="160" w:line="259" w:lineRule="auto"/>
            </w:pPr>
            <w:r>
              <w:t>2021</w:t>
            </w:r>
          </w:p>
        </w:tc>
        <w:tc>
          <w:tcPr>
            <w:tcW w:w="873" w:type="dxa"/>
            <w:tcBorders>
              <w:top w:val="outset" w:color="auto" w:sz="6" w:space="0"/>
              <w:left w:val="outset" w:color="auto" w:sz="6" w:space="0"/>
              <w:bottom w:val="outset" w:color="auto" w:sz="6" w:space="0"/>
              <w:right w:val="outset" w:color="auto" w:sz="6" w:space="0"/>
            </w:tcBorders>
          </w:tcPr>
          <w:p w14:paraId="3599EDE8">
            <w:pPr>
              <w:spacing w:after="160" w:line="259" w:lineRule="auto"/>
            </w:pPr>
            <w:r>
              <w:t>2022</w:t>
            </w:r>
          </w:p>
        </w:tc>
        <w:tc>
          <w:tcPr>
            <w:tcW w:w="904" w:type="dxa"/>
            <w:tcBorders>
              <w:top w:val="outset" w:color="auto" w:sz="6" w:space="0"/>
              <w:left w:val="outset" w:color="auto" w:sz="6" w:space="0"/>
              <w:bottom w:val="outset" w:color="auto" w:sz="6" w:space="0"/>
              <w:right w:val="outset" w:color="auto" w:sz="6" w:space="0"/>
            </w:tcBorders>
          </w:tcPr>
          <w:p w14:paraId="47077385">
            <w:pPr>
              <w:spacing w:after="160" w:line="259" w:lineRule="auto"/>
              <w:rPr>
                <w:rFonts w:hint="default"/>
                <w:lang w:val="pt-BR"/>
              </w:rPr>
            </w:pPr>
            <w:r>
              <w:rPr>
                <w:rFonts w:hint="default"/>
                <w:lang w:val="pt-BR"/>
              </w:rPr>
              <w:t>2023</w:t>
            </w:r>
          </w:p>
        </w:tc>
      </w:tr>
      <w:tr w14:paraId="19B3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34" w:type="dxa"/>
            <w:tcBorders>
              <w:top w:val="nil"/>
              <w:left w:val="outset" w:color="auto" w:sz="6" w:space="0"/>
              <w:bottom w:val="outset" w:color="auto" w:sz="6" w:space="0"/>
              <w:right w:val="outset" w:color="auto" w:sz="6" w:space="0"/>
            </w:tcBorders>
          </w:tcPr>
          <w:p w14:paraId="3AE0C63B">
            <w:pPr>
              <w:spacing w:after="160" w:line="259" w:lineRule="auto"/>
            </w:pPr>
            <w:r>
              <w:t xml:space="preserve">Indicador </w:t>
            </w:r>
          </w:p>
        </w:tc>
        <w:tc>
          <w:tcPr>
            <w:tcW w:w="1350" w:type="dxa"/>
            <w:tcBorders>
              <w:top w:val="nil"/>
              <w:left w:val="outset" w:color="auto" w:sz="6" w:space="0"/>
              <w:bottom w:val="outset" w:color="auto" w:sz="6" w:space="0"/>
              <w:right w:val="outset" w:color="auto" w:sz="6" w:space="0"/>
            </w:tcBorders>
          </w:tcPr>
          <w:p w14:paraId="0FB5BBC1">
            <w:pPr>
              <w:spacing w:after="160" w:line="259" w:lineRule="auto"/>
            </w:pPr>
            <w:r>
              <w:t>0,1%</w:t>
            </w:r>
          </w:p>
        </w:tc>
        <w:tc>
          <w:tcPr>
            <w:tcW w:w="1282" w:type="dxa"/>
            <w:tcBorders>
              <w:top w:val="nil"/>
              <w:left w:val="outset" w:color="auto" w:sz="6" w:space="0"/>
              <w:bottom w:val="outset" w:color="auto" w:sz="6" w:space="0"/>
              <w:right w:val="outset" w:color="auto" w:sz="6" w:space="0"/>
            </w:tcBorders>
          </w:tcPr>
          <w:p w14:paraId="6A6BBA83">
            <w:pPr>
              <w:spacing w:after="160" w:line="259" w:lineRule="auto"/>
            </w:pPr>
            <w:r>
              <w:t>0,2%</w:t>
            </w:r>
          </w:p>
        </w:tc>
        <w:tc>
          <w:tcPr>
            <w:tcW w:w="1077" w:type="dxa"/>
            <w:tcBorders>
              <w:top w:val="nil"/>
              <w:left w:val="outset" w:color="auto" w:sz="6" w:space="0"/>
              <w:bottom w:val="outset" w:color="auto" w:sz="6" w:space="0"/>
              <w:right w:val="outset" w:color="auto" w:sz="6" w:space="0"/>
            </w:tcBorders>
          </w:tcPr>
          <w:p w14:paraId="357CC316">
            <w:pPr>
              <w:spacing w:after="160" w:line="259" w:lineRule="auto"/>
            </w:pPr>
            <w:r>
              <w:t>7,2%</w:t>
            </w:r>
          </w:p>
        </w:tc>
        <w:tc>
          <w:tcPr>
            <w:tcW w:w="996" w:type="dxa"/>
            <w:tcBorders>
              <w:top w:val="nil"/>
              <w:left w:val="outset" w:color="auto" w:sz="6" w:space="0"/>
              <w:bottom w:val="outset" w:color="auto" w:sz="6" w:space="0"/>
              <w:right w:val="outset" w:color="auto" w:sz="6" w:space="0"/>
            </w:tcBorders>
          </w:tcPr>
          <w:p w14:paraId="15DF26F8">
            <w:pPr>
              <w:spacing w:after="160" w:line="259" w:lineRule="auto"/>
            </w:pPr>
            <w:r>
              <w:t>0,2%</w:t>
            </w:r>
          </w:p>
        </w:tc>
        <w:tc>
          <w:tcPr>
            <w:tcW w:w="1104" w:type="dxa"/>
            <w:tcBorders>
              <w:top w:val="nil"/>
              <w:left w:val="outset" w:color="auto" w:sz="6" w:space="0"/>
              <w:bottom w:val="outset" w:color="auto" w:sz="6" w:space="0"/>
              <w:right w:val="outset" w:color="auto" w:sz="6" w:space="0"/>
            </w:tcBorders>
          </w:tcPr>
          <w:p w14:paraId="3489A4DB">
            <w:pPr>
              <w:spacing w:after="160" w:line="259" w:lineRule="auto"/>
            </w:pPr>
            <w:r>
              <w:t>0,3%</w:t>
            </w:r>
          </w:p>
        </w:tc>
        <w:tc>
          <w:tcPr>
            <w:tcW w:w="1064" w:type="dxa"/>
            <w:tcBorders>
              <w:top w:val="nil"/>
              <w:left w:val="outset" w:color="auto" w:sz="6" w:space="0"/>
              <w:bottom w:val="outset" w:color="auto" w:sz="6" w:space="0"/>
              <w:right w:val="outset" w:color="auto" w:sz="6" w:space="0"/>
            </w:tcBorders>
          </w:tcPr>
          <w:p w14:paraId="7ECEE77A">
            <w:pPr>
              <w:spacing w:after="160" w:line="259" w:lineRule="auto"/>
            </w:pPr>
            <w:r>
              <w:t>8,4%</w:t>
            </w:r>
          </w:p>
        </w:tc>
        <w:tc>
          <w:tcPr>
            <w:tcW w:w="1050" w:type="dxa"/>
            <w:tcBorders>
              <w:top w:val="nil"/>
              <w:left w:val="outset" w:color="auto" w:sz="6" w:space="0"/>
              <w:bottom w:val="outset" w:color="auto" w:sz="6" w:space="0"/>
              <w:right w:val="outset" w:color="auto" w:sz="6" w:space="0"/>
            </w:tcBorders>
          </w:tcPr>
          <w:p w14:paraId="2944DF7B">
            <w:pPr>
              <w:spacing w:after="160" w:line="259" w:lineRule="auto"/>
            </w:pPr>
            <w:r>
              <w:t>7,4 %</w:t>
            </w:r>
          </w:p>
        </w:tc>
        <w:tc>
          <w:tcPr>
            <w:tcW w:w="995" w:type="dxa"/>
            <w:tcBorders>
              <w:top w:val="nil"/>
              <w:left w:val="outset" w:color="auto" w:sz="6" w:space="0"/>
              <w:bottom w:val="outset" w:color="auto" w:sz="6" w:space="0"/>
              <w:right w:val="outset" w:color="auto" w:sz="6" w:space="0"/>
            </w:tcBorders>
          </w:tcPr>
          <w:p w14:paraId="5BD75531">
            <w:pPr>
              <w:spacing w:after="160" w:line="259" w:lineRule="auto"/>
            </w:pPr>
            <w:r>
              <w:t>6,8%</w:t>
            </w:r>
          </w:p>
        </w:tc>
        <w:tc>
          <w:tcPr>
            <w:tcW w:w="873" w:type="dxa"/>
            <w:tcBorders>
              <w:top w:val="nil"/>
              <w:left w:val="outset" w:color="auto" w:sz="6" w:space="0"/>
              <w:bottom w:val="outset" w:color="auto" w:sz="6" w:space="0"/>
              <w:right w:val="outset" w:color="auto" w:sz="6" w:space="0"/>
            </w:tcBorders>
          </w:tcPr>
          <w:p w14:paraId="6127F5F2">
            <w:pPr>
              <w:spacing w:after="160" w:line="259" w:lineRule="auto"/>
            </w:pPr>
            <w:r>
              <w:t>7,9%</w:t>
            </w:r>
          </w:p>
        </w:tc>
        <w:tc>
          <w:tcPr>
            <w:tcW w:w="904" w:type="dxa"/>
            <w:tcBorders>
              <w:top w:val="nil"/>
              <w:left w:val="outset" w:color="auto" w:sz="6" w:space="0"/>
              <w:bottom w:val="outset" w:color="auto" w:sz="6" w:space="0"/>
              <w:right w:val="outset" w:color="auto" w:sz="6" w:space="0"/>
            </w:tcBorders>
          </w:tcPr>
          <w:p w14:paraId="037ADB99">
            <w:pPr>
              <w:spacing w:after="160" w:line="259" w:lineRule="auto"/>
              <w:rPr>
                <w:rFonts w:hint="default"/>
                <w:lang w:val="pt-BR"/>
              </w:rPr>
            </w:pPr>
            <w:r>
              <w:rPr>
                <w:rFonts w:hint="default"/>
                <w:lang w:val="pt-BR"/>
              </w:rPr>
              <w:t>9,69%</w:t>
            </w:r>
          </w:p>
        </w:tc>
      </w:tr>
      <w:tr w14:paraId="7D1D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9" w:type="dxa"/>
            <w:gridSpan w:val="11"/>
          </w:tcPr>
          <w:p w14:paraId="2A749C8A">
            <w:pPr>
              <w:jc w:val="center"/>
              <w:rPr>
                <w:rFonts w:hint="default"/>
                <w:vertAlign w:val="baseline"/>
                <w:lang w:val="pt-BR"/>
              </w:rPr>
            </w:pPr>
            <w:r>
              <w:rPr>
                <w:rFonts w:hint="default"/>
                <w:vertAlign w:val="baseline"/>
                <w:lang w:val="pt-BR"/>
              </w:rPr>
              <w:t>Fonte: INPE - Censo Escolar Educação Básica</w:t>
            </w:r>
          </w:p>
        </w:tc>
      </w:tr>
    </w:tbl>
    <w:p w14:paraId="39AED125"/>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3"/>
        <w:gridCol w:w="5"/>
        <w:gridCol w:w="6528"/>
      </w:tblGrid>
      <w:tr w14:paraId="26C9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28F78894">
            <w:pPr>
              <w:pStyle w:val="16"/>
              <w:numPr>
                <w:ilvl w:val="0"/>
                <w:numId w:val="0"/>
              </w:numPr>
              <w:jc w:val="center"/>
              <w:rPr>
                <w:rFonts w:hint="default"/>
                <w:b/>
                <w:vertAlign w:val="baseline"/>
                <w:lang w:val="pt-BR"/>
              </w:rPr>
            </w:pPr>
            <w:r>
              <w:rPr>
                <w:rFonts w:hint="default"/>
                <w:b/>
                <w:vertAlign w:val="baseline"/>
                <w:lang w:val="pt-BR"/>
              </w:rPr>
              <w:t>Ficha metodológica para o indicador 6B</w:t>
            </w:r>
            <w:r>
              <w:rPr>
                <w:rFonts w:hint="default"/>
                <w:b/>
                <w:bCs w:val="0"/>
                <w:vertAlign w:val="baseline"/>
                <w:lang w:val="pt-BR"/>
              </w:rPr>
              <w:t xml:space="preserve"> </w:t>
            </w:r>
            <w:r>
              <w:rPr>
                <w:rFonts w:hint="default"/>
                <w:b/>
                <w:vertAlign w:val="baseline"/>
                <w:lang w:val="pt-BR"/>
              </w:rPr>
              <w:t>- base PNE</w:t>
            </w:r>
          </w:p>
        </w:tc>
      </w:tr>
      <w:tr w14:paraId="3E14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8" w:type="dxa"/>
            <w:gridSpan w:val="2"/>
            <w:tcBorders>
              <w:top w:val="outset" w:color="auto" w:sz="6" w:space="0"/>
              <w:left w:val="outset" w:color="auto" w:sz="6" w:space="0"/>
              <w:bottom w:val="outset" w:color="auto" w:sz="6" w:space="0"/>
              <w:right w:val="outset" w:color="auto" w:sz="6" w:space="0"/>
            </w:tcBorders>
          </w:tcPr>
          <w:p w14:paraId="399CD7C3">
            <w:pPr>
              <w:spacing w:after="160" w:line="259" w:lineRule="auto"/>
              <w:rPr>
                <w:b/>
              </w:rPr>
            </w:pPr>
            <w:r>
              <w:rPr>
                <w:b/>
              </w:rPr>
              <w:t>Meta</w:t>
            </w:r>
          </w:p>
        </w:tc>
        <w:tc>
          <w:tcPr>
            <w:tcW w:w="6528" w:type="dxa"/>
            <w:tcBorders>
              <w:top w:val="outset" w:color="auto" w:sz="6" w:space="0"/>
              <w:left w:val="outset" w:color="auto" w:sz="6" w:space="0"/>
              <w:bottom w:val="outset" w:color="auto" w:sz="6" w:space="0"/>
              <w:right w:val="outset" w:color="auto" w:sz="6" w:space="0"/>
            </w:tcBorders>
          </w:tcPr>
          <w:p w14:paraId="6A5D0C37">
            <w:pPr>
              <w:spacing w:after="160" w:line="259" w:lineRule="auto"/>
              <w:rPr>
                <w:b/>
              </w:rPr>
            </w:pPr>
            <w:r>
              <w:rPr>
                <w:b/>
              </w:rPr>
              <w:t>Texto da meta</w:t>
            </w:r>
          </w:p>
        </w:tc>
      </w:tr>
      <w:tr w14:paraId="0B8D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8" w:type="dxa"/>
            <w:gridSpan w:val="2"/>
            <w:tcBorders>
              <w:top w:val="nil"/>
              <w:left w:val="outset" w:color="auto" w:sz="6" w:space="0"/>
              <w:bottom w:val="outset" w:color="auto" w:sz="6" w:space="0"/>
              <w:right w:val="outset" w:color="auto" w:sz="6" w:space="0"/>
            </w:tcBorders>
          </w:tcPr>
          <w:p w14:paraId="775CD532">
            <w:pPr>
              <w:spacing w:after="160" w:line="259" w:lineRule="auto"/>
            </w:pPr>
            <w:r>
              <w:t>6</w:t>
            </w:r>
          </w:p>
        </w:tc>
        <w:tc>
          <w:tcPr>
            <w:tcW w:w="6528" w:type="dxa"/>
            <w:tcBorders>
              <w:top w:val="nil"/>
              <w:left w:val="outset" w:color="auto" w:sz="6" w:space="0"/>
              <w:bottom w:val="outset" w:color="auto" w:sz="6" w:space="0"/>
              <w:right w:val="outset" w:color="auto" w:sz="6" w:space="0"/>
            </w:tcBorders>
          </w:tcPr>
          <w:p w14:paraId="0257D7C0">
            <w:pPr>
              <w:spacing w:after="160" w:line="259" w:lineRule="auto"/>
              <w:jc w:val="both"/>
            </w:pPr>
            <w:r>
              <w:t>Oferecer educação em tempo integral em, no mínimo, 50% (cinquenta por cento) das escolas públicas, de forma a atender, pelo menos, 25% (vinte e cinco por cento) dos (as) alunos(as) da educação básica.</w:t>
            </w:r>
          </w:p>
        </w:tc>
      </w:tr>
      <w:tr w14:paraId="0213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3" w:type="dxa"/>
            <w:tcBorders>
              <w:top w:val="outset" w:color="auto" w:sz="6" w:space="0"/>
              <w:left w:val="outset" w:color="auto" w:sz="6" w:space="0"/>
              <w:bottom w:val="outset" w:color="auto" w:sz="6" w:space="0"/>
              <w:right w:val="outset" w:color="auto" w:sz="6" w:space="0"/>
            </w:tcBorders>
          </w:tcPr>
          <w:p w14:paraId="53676612">
            <w:pPr>
              <w:spacing w:after="160" w:line="259" w:lineRule="auto"/>
              <w:rPr>
                <w:rFonts w:hint="default"/>
                <w:lang w:val="pt-BR"/>
              </w:rPr>
            </w:pPr>
            <w:r>
              <w:t>Indicador</w:t>
            </w:r>
            <w:r>
              <w:rPr>
                <w:rFonts w:hint="default"/>
                <w:lang w:val="pt-BR"/>
              </w:rPr>
              <w:t xml:space="preserve"> 6B Nacional</w:t>
            </w:r>
          </w:p>
        </w:tc>
        <w:tc>
          <w:tcPr>
            <w:tcW w:w="6533" w:type="dxa"/>
            <w:gridSpan w:val="2"/>
            <w:tcBorders>
              <w:top w:val="outset" w:color="auto" w:sz="6" w:space="0"/>
              <w:left w:val="outset" w:color="auto" w:sz="6" w:space="0"/>
              <w:bottom w:val="outset" w:color="auto" w:sz="6" w:space="0"/>
              <w:right w:val="outset" w:color="auto" w:sz="6" w:space="0"/>
            </w:tcBorders>
          </w:tcPr>
          <w:p w14:paraId="457B0919">
            <w:pPr>
              <w:spacing w:after="160" w:line="259" w:lineRule="auto"/>
              <w:jc w:val="both"/>
              <w:rPr>
                <w:rFonts w:hint="default"/>
                <w:lang w:val="pt-BR"/>
              </w:rPr>
            </w:pPr>
            <w:r>
              <w:t>Percentual de escolas públicas da educação básica que possuem, pelo menos, 25% dos alunos do público alvo da ETI em jornada de tempo integral</w:t>
            </w:r>
            <w:r>
              <w:rPr>
                <w:rFonts w:hint="default"/>
                <w:lang w:val="pt-BR"/>
              </w:rPr>
              <w:t>.</w:t>
            </w:r>
          </w:p>
        </w:tc>
      </w:tr>
      <w:tr w14:paraId="7418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3" w:type="dxa"/>
            <w:tcBorders>
              <w:top w:val="outset" w:color="auto" w:sz="6" w:space="0"/>
              <w:left w:val="outset" w:color="auto" w:sz="6" w:space="0"/>
              <w:bottom w:val="outset" w:color="auto" w:sz="6" w:space="0"/>
              <w:right w:val="outset" w:color="auto" w:sz="6" w:space="0"/>
            </w:tcBorders>
          </w:tcPr>
          <w:p w14:paraId="6C77F196">
            <w:pPr>
              <w:spacing w:after="160" w:line="259" w:lineRule="auto"/>
              <w:rPr>
                <w:rFonts w:hint="default"/>
                <w:lang w:val="pt-BR"/>
              </w:rPr>
            </w:pPr>
            <w:r>
              <w:rPr>
                <w:rFonts w:hint="default"/>
                <w:lang w:val="pt-BR"/>
              </w:rPr>
              <w:t>Indicador 6B Proposto</w:t>
            </w:r>
          </w:p>
        </w:tc>
        <w:tc>
          <w:tcPr>
            <w:tcW w:w="6533" w:type="dxa"/>
            <w:gridSpan w:val="2"/>
            <w:tcBorders>
              <w:top w:val="outset" w:color="auto" w:sz="6" w:space="0"/>
              <w:left w:val="outset" w:color="auto" w:sz="6" w:space="0"/>
              <w:bottom w:val="outset" w:color="auto" w:sz="6" w:space="0"/>
              <w:right w:val="outset" w:color="auto" w:sz="6" w:space="0"/>
            </w:tcBorders>
          </w:tcPr>
          <w:p w14:paraId="5A91886F">
            <w:pPr>
              <w:spacing w:after="160" w:line="259" w:lineRule="auto"/>
              <w:jc w:val="both"/>
              <w:rPr>
                <w:rFonts w:hint="default"/>
                <w:lang w:val="pt-BR"/>
              </w:rPr>
            </w:pPr>
            <w:r>
              <w:rPr>
                <w:rFonts w:hint="default"/>
                <w:lang w:val="pt-BR"/>
              </w:rPr>
              <w:t>Replicar o nacional.</w:t>
            </w:r>
          </w:p>
        </w:tc>
      </w:tr>
      <w:tr w14:paraId="56AC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3" w:type="dxa"/>
            <w:tcBorders>
              <w:top w:val="nil"/>
              <w:left w:val="outset" w:color="auto" w:sz="6" w:space="0"/>
              <w:bottom w:val="outset" w:color="auto" w:sz="6" w:space="0"/>
              <w:right w:val="outset" w:color="auto" w:sz="6" w:space="0"/>
            </w:tcBorders>
          </w:tcPr>
          <w:p w14:paraId="69C54C84">
            <w:pPr>
              <w:spacing w:after="160" w:line="259" w:lineRule="auto"/>
            </w:pPr>
            <w:r>
              <w:t>Fórmula de cálculo</w:t>
            </w:r>
          </w:p>
        </w:tc>
        <w:tc>
          <w:tcPr>
            <w:tcW w:w="6533" w:type="dxa"/>
            <w:gridSpan w:val="2"/>
            <w:tcBorders>
              <w:top w:val="nil"/>
              <w:left w:val="outset" w:color="auto" w:sz="6" w:space="0"/>
              <w:bottom w:val="outset" w:color="auto" w:sz="6" w:space="0"/>
              <w:right w:val="outset" w:color="auto" w:sz="6" w:space="0"/>
            </w:tcBorders>
          </w:tcPr>
          <w:p w14:paraId="2B456F58">
            <w:pPr>
              <w:spacing w:after="160" w:line="259" w:lineRule="auto"/>
              <w:jc w:val="both"/>
              <w:rPr>
                <w:rFonts w:hint="default"/>
                <w:lang w:val="pt-BR"/>
              </w:rPr>
            </w:pPr>
            <w:r>
              <w:t>(Número de escolas que possuem pelo menos 25% dos alunos do público alvo da ETI em jornada de tempo integral / Número de escolas que possuem pelo menos um aluno do público alvo</w:t>
            </w:r>
            <w:r>
              <w:rPr>
                <w:rFonts w:hint="default"/>
                <w:lang w:val="pt-BR"/>
              </w:rPr>
              <w:t xml:space="preserve"> da ETI) X 100.</w:t>
            </w:r>
          </w:p>
        </w:tc>
      </w:tr>
      <w:tr w14:paraId="7C87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3" w:type="dxa"/>
            <w:tcBorders>
              <w:top w:val="nil"/>
              <w:left w:val="outset" w:color="auto" w:sz="6" w:space="0"/>
              <w:bottom w:val="outset" w:color="auto" w:sz="6" w:space="0"/>
              <w:right w:val="outset" w:color="auto" w:sz="6" w:space="0"/>
            </w:tcBorders>
          </w:tcPr>
          <w:p w14:paraId="1F1595D1">
            <w:pPr>
              <w:spacing w:after="160" w:line="259" w:lineRule="auto"/>
            </w:pPr>
            <w:r>
              <w:t>Comentários</w:t>
            </w:r>
          </w:p>
        </w:tc>
        <w:tc>
          <w:tcPr>
            <w:tcW w:w="6533" w:type="dxa"/>
            <w:gridSpan w:val="2"/>
            <w:tcBorders>
              <w:top w:val="nil"/>
              <w:left w:val="outset" w:color="auto" w:sz="6" w:space="0"/>
              <w:bottom w:val="outset" w:color="auto" w:sz="6" w:space="0"/>
              <w:right w:val="outset" w:color="auto" w:sz="6" w:space="0"/>
            </w:tcBorders>
          </w:tcPr>
          <w:p w14:paraId="0C103EF1">
            <w:pPr>
              <w:spacing w:after="160" w:line="259" w:lineRule="auto"/>
              <w:jc w:val="both"/>
              <w:rPr>
                <w:rFonts w:hint="default"/>
                <w:b/>
                <w:lang w:val="pt-BR"/>
              </w:rPr>
            </w:pPr>
            <w:r>
              <w:t>Calculado conforme Relatório do 3º Ciclo de Monitoramento das Metas do Plano Nacional de Educação - 2020 (INEP).</w:t>
            </w:r>
            <w:r>
              <w:rPr>
                <w:b/>
                <w:bCs/>
              </w:rPr>
              <w:t xml:space="preserve">Público Alvo da ETI </w:t>
            </w:r>
            <w:r>
              <w:t xml:space="preserve">= são os alunos da educação básica cujas matrículas de escolarização são em escola pública, presenciais e não pertencem à Educação de Jovens e Adultos nem à Educação Profissional Técnica de Nível Médio, oferecida na forma Subsequente ou Concomitante; </w:t>
            </w:r>
            <w:r>
              <w:rPr>
                <w:b/>
                <w:bCs/>
              </w:rPr>
              <w:t xml:space="preserve">Jornada de Tempo Integral </w:t>
            </w:r>
            <w:r>
              <w:t xml:space="preserve">= é a jornada cuja duração é, em média, igual ou superior a sete horas diárias, contabilizada a partir da soma da carga horária da matrícula de escolarização do aluno na escola pública com a carga horária total das matrículas de Atividade Complementar (AC) e/ou de Atendimento Educacional Especializado (AEE) realizadas em instituições públicas e/ou privadas. </w:t>
            </w:r>
            <w:r>
              <w:rPr>
                <w:b/>
              </w:rPr>
              <w:t>* PORÉM, A PARTIR DE 2021 OS ARQUIVOS DE DADOS DO CENSO ESCOLAR DA EDUCAÇÃO BÁSICA DISPONIBILIZADOS PELO INEP, NÃO PERMITEM MAIS VERIFICAR A MAIOR PARTE DAS VARIÁVEIS</w:t>
            </w:r>
            <w:r>
              <w:rPr>
                <w:rFonts w:hint="default"/>
                <w:b/>
                <w:lang w:val="pt-BR"/>
              </w:rPr>
              <w:t xml:space="preserve"> </w:t>
            </w:r>
            <w:r>
              <w:rPr>
                <w:b/>
              </w:rPr>
              <w:t>E REALIZAR O CRUZAMENTO DE DADOS POR ESCOLA E MUNICÍPIO. DESSA FORMA, PARA OS MUNICÍPIOS, A SÉRIE HISTÓRICA FICA INTERROMPIDA EM 2021 POR FALTA DE DADOS PUBLICADOS</w:t>
            </w:r>
            <w:r>
              <w:rPr>
                <w:rFonts w:hint="default"/>
                <w:b/>
                <w:lang w:val="pt-BR"/>
              </w:rPr>
              <w:t>.</w:t>
            </w:r>
          </w:p>
        </w:tc>
      </w:tr>
    </w:tbl>
    <w:p w14:paraId="48728E00">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2"/>
        <w:gridCol w:w="1800"/>
        <w:gridCol w:w="1255"/>
        <w:gridCol w:w="982"/>
        <w:gridCol w:w="1050"/>
        <w:gridCol w:w="1036"/>
        <w:gridCol w:w="886"/>
        <w:gridCol w:w="805"/>
        <w:gridCol w:w="968"/>
        <w:gridCol w:w="873"/>
        <w:gridCol w:w="972"/>
      </w:tblGrid>
      <w:tr w14:paraId="6E22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7" w:type="dxa"/>
            <w:gridSpan w:val="10"/>
          </w:tcPr>
          <w:p w14:paraId="18CB1002">
            <w:pPr>
              <w:jc w:val="center"/>
              <w:rPr>
                <w:rFonts w:hint="default"/>
                <w:vertAlign w:val="baseline"/>
                <w:lang w:val="pt-BR"/>
              </w:rPr>
            </w:pPr>
            <w:r>
              <w:rPr>
                <w:rFonts w:hint="default"/>
                <w:vertAlign w:val="baseline"/>
                <w:lang w:val="pt-BR"/>
              </w:rPr>
              <w:t>Dados/Indicadores: Indicador 6 B</w:t>
            </w:r>
          </w:p>
        </w:tc>
        <w:tc>
          <w:tcPr>
            <w:tcW w:w="972" w:type="dxa"/>
          </w:tcPr>
          <w:p w14:paraId="354CB12B">
            <w:pPr>
              <w:rPr>
                <w:rFonts w:hint="default"/>
                <w:vertAlign w:val="baseline"/>
                <w:lang w:val="pt-BR"/>
              </w:rPr>
            </w:pPr>
          </w:p>
        </w:tc>
      </w:tr>
      <w:tr w14:paraId="3868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502" w:type="dxa"/>
            <w:tcBorders>
              <w:top w:val="outset" w:color="auto" w:sz="6" w:space="0"/>
              <w:left w:val="outset" w:color="auto" w:sz="6" w:space="0"/>
              <w:bottom w:val="outset" w:color="auto" w:sz="6" w:space="0"/>
              <w:right w:val="outset" w:color="auto" w:sz="6" w:space="0"/>
            </w:tcBorders>
          </w:tcPr>
          <w:p w14:paraId="512110E7">
            <w:pPr>
              <w:spacing w:after="160" w:line="259" w:lineRule="auto"/>
              <w:rPr>
                <w:rFonts w:hint="default"/>
                <w:lang w:val="pt-BR"/>
              </w:rPr>
            </w:pPr>
            <w:r>
              <w:rPr>
                <w:rFonts w:hint="default"/>
                <w:lang w:val="pt-BR"/>
              </w:rPr>
              <w:t>Ano</w:t>
            </w:r>
          </w:p>
        </w:tc>
        <w:tc>
          <w:tcPr>
            <w:tcW w:w="1800" w:type="dxa"/>
            <w:tcBorders>
              <w:top w:val="outset" w:color="auto" w:sz="6" w:space="0"/>
              <w:left w:val="outset" w:color="auto" w:sz="6" w:space="0"/>
              <w:bottom w:val="outset" w:color="auto" w:sz="6" w:space="0"/>
              <w:right w:val="outset" w:color="auto" w:sz="6" w:space="0"/>
            </w:tcBorders>
          </w:tcPr>
          <w:p w14:paraId="5A5A490B">
            <w:pPr>
              <w:spacing w:after="160" w:line="259" w:lineRule="auto"/>
            </w:pPr>
            <w:r>
              <w:t>2014</w:t>
            </w:r>
          </w:p>
        </w:tc>
        <w:tc>
          <w:tcPr>
            <w:tcW w:w="1255" w:type="dxa"/>
            <w:tcBorders>
              <w:top w:val="outset" w:color="auto" w:sz="6" w:space="0"/>
              <w:left w:val="outset" w:color="auto" w:sz="6" w:space="0"/>
              <w:bottom w:val="outset" w:color="auto" w:sz="6" w:space="0"/>
              <w:right w:val="outset" w:color="auto" w:sz="6" w:space="0"/>
            </w:tcBorders>
          </w:tcPr>
          <w:p w14:paraId="4C4346FC">
            <w:pPr>
              <w:spacing w:after="160" w:line="259" w:lineRule="auto"/>
            </w:pPr>
            <w:r>
              <w:t>2015</w:t>
            </w:r>
          </w:p>
        </w:tc>
        <w:tc>
          <w:tcPr>
            <w:tcW w:w="982" w:type="dxa"/>
            <w:tcBorders>
              <w:top w:val="outset" w:color="auto" w:sz="6" w:space="0"/>
              <w:left w:val="outset" w:color="auto" w:sz="6" w:space="0"/>
              <w:bottom w:val="outset" w:color="auto" w:sz="6" w:space="0"/>
              <w:right w:val="outset" w:color="auto" w:sz="6" w:space="0"/>
            </w:tcBorders>
          </w:tcPr>
          <w:p w14:paraId="37F63591">
            <w:pPr>
              <w:spacing w:after="160" w:line="259" w:lineRule="auto"/>
            </w:pPr>
            <w:r>
              <w:t>2016</w:t>
            </w:r>
          </w:p>
        </w:tc>
        <w:tc>
          <w:tcPr>
            <w:tcW w:w="1050" w:type="dxa"/>
            <w:tcBorders>
              <w:top w:val="outset" w:color="auto" w:sz="6" w:space="0"/>
              <w:left w:val="outset" w:color="auto" w:sz="6" w:space="0"/>
              <w:bottom w:val="outset" w:color="auto" w:sz="6" w:space="0"/>
              <w:right w:val="outset" w:color="auto" w:sz="6" w:space="0"/>
            </w:tcBorders>
          </w:tcPr>
          <w:p w14:paraId="7E102032">
            <w:pPr>
              <w:spacing w:after="160" w:line="259" w:lineRule="auto"/>
            </w:pPr>
            <w:r>
              <w:t>2017</w:t>
            </w:r>
          </w:p>
        </w:tc>
        <w:tc>
          <w:tcPr>
            <w:tcW w:w="1036" w:type="dxa"/>
            <w:tcBorders>
              <w:top w:val="outset" w:color="auto" w:sz="6" w:space="0"/>
              <w:left w:val="outset" w:color="auto" w:sz="6" w:space="0"/>
              <w:bottom w:val="outset" w:color="auto" w:sz="6" w:space="0"/>
              <w:right w:val="outset" w:color="auto" w:sz="6" w:space="0"/>
            </w:tcBorders>
          </w:tcPr>
          <w:p w14:paraId="5B2BBF90">
            <w:pPr>
              <w:spacing w:after="160" w:line="259" w:lineRule="auto"/>
            </w:pPr>
            <w:r>
              <w:t>2018</w:t>
            </w:r>
          </w:p>
        </w:tc>
        <w:tc>
          <w:tcPr>
            <w:tcW w:w="886" w:type="dxa"/>
            <w:tcBorders>
              <w:top w:val="outset" w:color="auto" w:sz="6" w:space="0"/>
              <w:left w:val="outset" w:color="auto" w:sz="6" w:space="0"/>
              <w:bottom w:val="outset" w:color="auto" w:sz="6" w:space="0"/>
              <w:right w:val="outset" w:color="auto" w:sz="6" w:space="0"/>
            </w:tcBorders>
          </w:tcPr>
          <w:p w14:paraId="66722038">
            <w:pPr>
              <w:spacing w:after="160" w:line="259" w:lineRule="auto"/>
            </w:pPr>
            <w:r>
              <w:t>2019</w:t>
            </w:r>
          </w:p>
        </w:tc>
        <w:tc>
          <w:tcPr>
            <w:tcW w:w="805" w:type="dxa"/>
            <w:tcBorders>
              <w:top w:val="outset" w:color="auto" w:sz="6" w:space="0"/>
              <w:left w:val="outset" w:color="auto" w:sz="6" w:space="0"/>
              <w:bottom w:val="outset" w:color="auto" w:sz="6" w:space="0"/>
              <w:right w:val="outset" w:color="auto" w:sz="6" w:space="0"/>
            </w:tcBorders>
          </w:tcPr>
          <w:p w14:paraId="21F2EA06">
            <w:pPr>
              <w:spacing w:after="160" w:line="259" w:lineRule="auto"/>
            </w:pPr>
            <w:r>
              <w:t>2020</w:t>
            </w:r>
          </w:p>
        </w:tc>
        <w:tc>
          <w:tcPr>
            <w:tcW w:w="968" w:type="dxa"/>
            <w:tcBorders>
              <w:top w:val="outset" w:color="auto" w:sz="6" w:space="0"/>
              <w:left w:val="outset" w:color="auto" w:sz="6" w:space="0"/>
              <w:bottom w:val="outset" w:color="auto" w:sz="6" w:space="0"/>
              <w:right w:val="outset" w:color="auto" w:sz="6" w:space="0"/>
            </w:tcBorders>
          </w:tcPr>
          <w:p w14:paraId="2F7CF805">
            <w:pPr>
              <w:spacing w:after="160" w:line="259" w:lineRule="auto"/>
            </w:pPr>
            <w:r>
              <w:t>2021</w:t>
            </w:r>
          </w:p>
        </w:tc>
        <w:tc>
          <w:tcPr>
            <w:tcW w:w="873" w:type="dxa"/>
            <w:tcBorders>
              <w:top w:val="outset" w:color="auto" w:sz="6" w:space="0"/>
              <w:left w:val="outset" w:color="auto" w:sz="6" w:space="0"/>
              <w:bottom w:val="outset" w:color="auto" w:sz="6" w:space="0"/>
              <w:right w:val="outset" w:color="auto" w:sz="6" w:space="0"/>
            </w:tcBorders>
          </w:tcPr>
          <w:p w14:paraId="3A74C407">
            <w:pPr>
              <w:spacing w:after="160" w:line="259" w:lineRule="auto"/>
            </w:pPr>
            <w:r>
              <w:t>2022</w:t>
            </w:r>
          </w:p>
        </w:tc>
        <w:tc>
          <w:tcPr>
            <w:tcW w:w="972" w:type="dxa"/>
            <w:tcBorders>
              <w:top w:val="outset" w:color="auto" w:sz="6" w:space="0"/>
              <w:left w:val="outset" w:color="auto" w:sz="6" w:space="0"/>
              <w:bottom w:val="outset" w:color="auto" w:sz="6" w:space="0"/>
              <w:right w:val="outset" w:color="auto" w:sz="6" w:space="0"/>
            </w:tcBorders>
          </w:tcPr>
          <w:p w14:paraId="4DBDFC5C">
            <w:pPr>
              <w:spacing w:after="160" w:line="259" w:lineRule="auto"/>
              <w:rPr>
                <w:rFonts w:hint="default"/>
                <w:lang w:val="pt-BR"/>
              </w:rPr>
            </w:pPr>
            <w:r>
              <w:rPr>
                <w:rFonts w:hint="default"/>
                <w:lang w:val="pt-BR"/>
              </w:rPr>
              <w:t>2023</w:t>
            </w:r>
          </w:p>
        </w:tc>
      </w:tr>
      <w:tr w14:paraId="54DF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502" w:type="dxa"/>
            <w:tcBorders>
              <w:top w:val="nil"/>
              <w:left w:val="outset" w:color="auto" w:sz="6" w:space="0"/>
              <w:bottom w:val="outset" w:color="auto" w:sz="6" w:space="0"/>
              <w:right w:val="outset" w:color="auto" w:sz="6" w:space="0"/>
            </w:tcBorders>
          </w:tcPr>
          <w:p w14:paraId="2710CA17">
            <w:pPr>
              <w:spacing w:after="160" w:line="259" w:lineRule="auto"/>
            </w:pPr>
            <w:r>
              <w:t xml:space="preserve">Indicador </w:t>
            </w:r>
          </w:p>
        </w:tc>
        <w:tc>
          <w:tcPr>
            <w:tcW w:w="1800" w:type="dxa"/>
            <w:tcBorders>
              <w:top w:val="nil"/>
              <w:left w:val="outset" w:color="auto" w:sz="6" w:space="0"/>
              <w:bottom w:val="outset" w:color="auto" w:sz="6" w:space="0"/>
              <w:right w:val="outset" w:color="auto" w:sz="6" w:space="0"/>
            </w:tcBorders>
          </w:tcPr>
          <w:p w14:paraId="46D8C54A">
            <w:pPr>
              <w:spacing w:after="160" w:line="259" w:lineRule="auto"/>
            </w:pPr>
            <w:r>
              <w:t>0,</w:t>
            </w:r>
            <w:r>
              <w:rPr>
                <w:rFonts w:hint="default"/>
                <w:lang w:val="pt-BR"/>
              </w:rPr>
              <w:t>0</w:t>
            </w:r>
            <w:r>
              <w:t>%</w:t>
            </w:r>
          </w:p>
        </w:tc>
        <w:tc>
          <w:tcPr>
            <w:tcW w:w="1255" w:type="dxa"/>
            <w:tcBorders>
              <w:top w:val="nil"/>
              <w:left w:val="outset" w:color="auto" w:sz="6" w:space="0"/>
              <w:bottom w:val="outset" w:color="auto" w:sz="6" w:space="0"/>
              <w:right w:val="outset" w:color="auto" w:sz="6" w:space="0"/>
            </w:tcBorders>
          </w:tcPr>
          <w:p w14:paraId="1F7F37E7">
            <w:pPr>
              <w:spacing w:after="160" w:line="259" w:lineRule="auto"/>
            </w:pPr>
            <w:r>
              <w:t>0,</w:t>
            </w:r>
            <w:r>
              <w:rPr>
                <w:rFonts w:hint="default"/>
                <w:lang w:val="pt-BR"/>
              </w:rPr>
              <w:t>0</w:t>
            </w:r>
            <w:r>
              <w:t>%</w:t>
            </w:r>
          </w:p>
        </w:tc>
        <w:tc>
          <w:tcPr>
            <w:tcW w:w="982" w:type="dxa"/>
            <w:tcBorders>
              <w:top w:val="nil"/>
              <w:left w:val="outset" w:color="auto" w:sz="6" w:space="0"/>
              <w:bottom w:val="outset" w:color="auto" w:sz="6" w:space="0"/>
              <w:right w:val="outset" w:color="auto" w:sz="6" w:space="0"/>
            </w:tcBorders>
          </w:tcPr>
          <w:p w14:paraId="420B3F0C">
            <w:pPr>
              <w:spacing w:after="160" w:line="259" w:lineRule="auto"/>
            </w:pPr>
            <w:r>
              <w:rPr>
                <w:rFonts w:hint="default"/>
                <w:lang w:val="pt-BR"/>
              </w:rPr>
              <w:t>0,0</w:t>
            </w:r>
            <w:r>
              <w:t>%</w:t>
            </w:r>
          </w:p>
        </w:tc>
        <w:tc>
          <w:tcPr>
            <w:tcW w:w="1050" w:type="dxa"/>
            <w:tcBorders>
              <w:top w:val="nil"/>
              <w:left w:val="outset" w:color="auto" w:sz="6" w:space="0"/>
              <w:bottom w:val="outset" w:color="auto" w:sz="6" w:space="0"/>
              <w:right w:val="outset" w:color="auto" w:sz="6" w:space="0"/>
            </w:tcBorders>
          </w:tcPr>
          <w:p w14:paraId="7D786608">
            <w:pPr>
              <w:spacing w:after="160" w:line="259" w:lineRule="auto"/>
            </w:pPr>
            <w:r>
              <w:t>0,</w:t>
            </w:r>
            <w:r>
              <w:rPr>
                <w:rFonts w:hint="default"/>
                <w:lang w:val="pt-BR"/>
              </w:rPr>
              <w:t>0</w:t>
            </w:r>
            <w:r>
              <w:t>%</w:t>
            </w:r>
          </w:p>
        </w:tc>
        <w:tc>
          <w:tcPr>
            <w:tcW w:w="1036" w:type="dxa"/>
            <w:tcBorders>
              <w:top w:val="nil"/>
              <w:left w:val="outset" w:color="auto" w:sz="6" w:space="0"/>
              <w:bottom w:val="outset" w:color="auto" w:sz="6" w:space="0"/>
              <w:right w:val="outset" w:color="auto" w:sz="6" w:space="0"/>
            </w:tcBorders>
          </w:tcPr>
          <w:p w14:paraId="16473B9C">
            <w:pPr>
              <w:spacing w:after="160" w:line="259" w:lineRule="auto"/>
            </w:pPr>
            <w:r>
              <w:t>0,</w:t>
            </w:r>
            <w:r>
              <w:rPr>
                <w:rFonts w:hint="default"/>
                <w:lang w:val="pt-BR"/>
              </w:rPr>
              <w:t>0</w:t>
            </w:r>
            <w:r>
              <w:t>%</w:t>
            </w:r>
          </w:p>
        </w:tc>
        <w:tc>
          <w:tcPr>
            <w:tcW w:w="886" w:type="dxa"/>
            <w:tcBorders>
              <w:top w:val="nil"/>
              <w:left w:val="outset" w:color="auto" w:sz="6" w:space="0"/>
              <w:bottom w:val="outset" w:color="auto" w:sz="6" w:space="0"/>
              <w:right w:val="outset" w:color="auto" w:sz="6" w:space="0"/>
            </w:tcBorders>
          </w:tcPr>
          <w:p w14:paraId="249E2C9A">
            <w:pPr>
              <w:spacing w:after="160" w:line="259" w:lineRule="auto"/>
            </w:pPr>
            <w:r>
              <w:rPr>
                <w:rFonts w:hint="default"/>
                <w:lang w:val="pt-BR"/>
              </w:rPr>
              <w:t>1</w:t>
            </w:r>
            <w:r>
              <w:t>4</w:t>
            </w:r>
            <w:r>
              <w:rPr>
                <w:rFonts w:hint="default"/>
                <w:lang w:val="pt-BR"/>
              </w:rPr>
              <w:t>,3</w:t>
            </w:r>
            <w:r>
              <w:t>%</w:t>
            </w:r>
          </w:p>
        </w:tc>
        <w:tc>
          <w:tcPr>
            <w:tcW w:w="805" w:type="dxa"/>
            <w:tcBorders>
              <w:top w:val="nil"/>
              <w:left w:val="outset" w:color="auto" w:sz="6" w:space="0"/>
              <w:bottom w:val="outset" w:color="auto" w:sz="6" w:space="0"/>
              <w:right w:val="outset" w:color="auto" w:sz="6" w:space="0"/>
            </w:tcBorders>
          </w:tcPr>
          <w:p w14:paraId="3228BF86">
            <w:pPr>
              <w:spacing w:after="160" w:line="259" w:lineRule="auto"/>
            </w:pPr>
            <w:r>
              <w:rPr>
                <w:rFonts w:hint="default"/>
                <w:lang w:val="pt-BR"/>
              </w:rPr>
              <w:t>1</w:t>
            </w:r>
            <w:r>
              <w:t>4</w:t>
            </w:r>
            <w:r>
              <w:rPr>
                <w:rFonts w:hint="default"/>
                <w:lang w:val="pt-BR"/>
              </w:rPr>
              <w:t>,3</w:t>
            </w:r>
            <w:r>
              <w:t xml:space="preserve"> %</w:t>
            </w:r>
          </w:p>
        </w:tc>
        <w:tc>
          <w:tcPr>
            <w:tcW w:w="968" w:type="dxa"/>
            <w:tcBorders>
              <w:top w:val="nil"/>
              <w:left w:val="outset" w:color="auto" w:sz="6" w:space="0"/>
              <w:bottom w:val="outset" w:color="auto" w:sz="6" w:space="0"/>
              <w:right w:val="outset" w:color="auto" w:sz="6" w:space="0"/>
            </w:tcBorders>
          </w:tcPr>
          <w:p w14:paraId="335C3662">
            <w:pPr>
              <w:spacing w:after="160" w:line="259" w:lineRule="auto"/>
              <w:rPr>
                <w:rFonts w:hint="default"/>
                <w:lang w:val="pt-BR"/>
              </w:rPr>
            </w:pPr>
            <w:r>
              <w:rPr>
                <w:rFonts w:hint="default"/>
                <w:lang w:val="pt-BR"/>
              </w:rPr>
              <w:t>*</w:t>
            </w:r>
          </w:p>
        </w:tc>
        <w:tc>
          <w:tcPr>
            <w:tcW w:w="873" w:type="dxa"/>
            <w:tcBorders>
              <w:top w:val="nil"/>
              <w:left w:val="outset" w:color="auto" w:sz="6" w:space="0"/>
              <w:bottom w:val="outset" w:color="auto" w:sz="6" w:space="0"/>
              <w:right w:val="outset" w:color="auto" w:sz="6" w:space="0"/>
            </w:tcBorders>
          </w:tcPr>
          <w:p w14:paraId="45CBF107">
            <w:pPr>
              <w:spacing w:after="160" w:line="259" w:lineRule="auto"/>
              <w:rPr>
                <w:rFonts w:hint="default"/>
                <w:lang w:val="pt-BR"/>
              </w:rPr>
            </w:pPr>
            <w:r>
              <w:rPr>
                <w:rFonts w:hint="default"/>
                <w:lang w:val="pt-BR"/>
              </w:rPr>
              <w:t>*</w:t>
            </w:r>
          </w:p>
        </w:tc>
        <w:tc>
          <w:tcPr>
            <w:tcW w:w="972" w:type="dxa"/>
            <w:tcBorders>
              <w:top w:val="nil"/>
              <w:left w:val="outset" w:color="auto" w:sz="6" w:space="0"/>
              <w:bottom w:val="outset" w:color="auto" w:sz="6" w:space="0"/>
              <w:right w:val="outset" w:color="auto" w:sz="6" w:space="0"/>
            </w:tcBorders>
          </w:tcPr>
          <w:p w14:paraId="3C5A3004">
            <w:pPr>
              <w:spacing w:after="160" w:line="259" w:lineRule="auto"/>
              <w:rPr>
                <w:rFonts w:hint="default"/>
                <w:lang w:val="pt-BR"/>
              </w:rPr>
            </w:pPr>
            <w:r>
              <w:rPr>
                <w:rFonts w:hint="default"/>
                <w:lang w:val="pt-BR"/>
              </w:rPr>
              <w:t>*</w:t>
            </w:r>
          </w:p>
        </w:tc>
      </w:tr>
      <w:tr w14:paraId="3DB7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9" w:type="dxa"/>
            <w:gridSpan w:val="11"/>
          </w:tcPr>
          <w:p w14:paraId="688EFF0C">
            <w:pPr>
              <w:rPr>
                <w:rFonts w:hint="default"/>
                <w:vertAlign w:val="baseline"/>
                <w:lang w:val="pt-BR"/>
              </w:rPr>
            </w:pPr>
            <w:r>
              <w:t xml:space="preserve"> </w:t>
            </w:r>
            <w:r>
              <w:rPr>
                <w:rFonts w:hint="default"/>
                <w:vertAlign w:val="baseline"/>
                <w:lang w:val="pt-BR"/>
              </w:rPr>
              <w:t>Fonte: INEP - Censo Escolar Educação Básica</w:t>
            </w:r>
          </w:p>
        </w:tc>
      </w:tr>
    </w:tbl>
    <w:p w14:paraId="7DDA76FB"/>
    <w:p w14:paraId="1841AB2F">
      <w:pPr>
        <w:ind w:firstLine="708" w:firstLineChars="0"/>
        <w:jc w:val="both"/>
      </w:pPr>
      <w:r>
        <w:t xml:space="preserve">A Educação em tempo integral, no nosso município, exige recursos financeiros federais e estaduais, para a ampliação do espaço físico, contratação de profissionais e aquisição de equipamentos para poder atender a esta proposta.  </w:t>
      </w:r>
    </w:p>
    <w:p w14:paraId="4D69F433">
      <w:pPr>
        <w:ind w:firstLine="708" w:firstLineChars="0"/>
        <w:jc w:val="both"/>
        <w:rPr>
          <w:rFonts w:hint="default"/>
          <w:lang w:val="pt-BR"/>
        </w:rPr>
      </w:pPr>
      <w:r>
        <w:rPr>
          <w:rFonts w:hint="default"/>
          <w:lang w:val="pt-BR"/>
        </w:rPr>
        <w:t>Nosso município atende em Tempo Integral as crianças de 6 meses a 3 anos, que frequentam o CMEI - Centro Municipal De Educação Infantil.</w:t>
      </w:r>
    </w:p>
    <w:p w14:paraId="30E6093B">
      <w:pPr>
        <w:ind w:firstLine="708" w:firstLineChars="0"/>
        <w:jc w:val="both"/>
        <w:rPr>
          <w:rFonts w:hint="default"/>
          <w:lang w:val="pt-BR"/>
        </w:rPr>
      </w:pP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3"/>
        <w:gridCol w:w="20"/>
        <w:gridCol w:w="6523"/>
      </w:tblGrid>
      <w:tr w14:paraId="7B36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575F38C6">
            <w:pPr>
              <w:rPr>
                <w:rFonts w:hint="default"/>
                <w:b/>
                <w:vertAlign w:val="baseline"/>
                <w:lang w:val="pt-BR"/>
              </w:rPr>
            </w:pPr>
            <w:r>
              <w:t xml:space="preserve"> </w:t>
            </w:r>
            <w:r>
              <w:rPr>
                <w:rFonts w:hint="default"/>
                <w:b/>
                <w:vertAlign w:val="baseline"/>
                <w:lang w:val="pt-BR"/>
              </w:rPr>
              <w:t>Ficha metodológica para o indicador 7A</w:t>
            </w:r>
            <w:r>
              <w:rPr>
                <w:rFonts w:hint="default"/>
                <w:b/>
                <w:bCs w:val="0"/>
                <w:vertAlign w:val="baseline"/>
                <w:lang w:val="pt-BR"/>
              </w:rPr>
              <w:t xml:space="preserve"> </w:t>
            </w:r>
            <w:r>
              <w:rPr>
                <w:rFonts w:hint="default"/>
                <w:b/>
                <w:vertAlign w:val="baseline"/>
                <w:lang w:val="pt-BR"/>
              </w:rPr>
              <w:t>- base PNE</w:t>
            </w:r>
          </w:p>
        </w:tc>
      </w:tr>
      <w:tr w14:paraId="5050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93" w:type="dxa"/>
            <w:tcBorders>
              <w:top w:val="outset" w:color="auto" w:sz="6" w:space="0"/>
              <w:left w:val="outset" w:color="auto" w:sz="6" w:space="0"/>
              <w:bottom w:val="outset" w:color="auto" w:sz="6" w:space="0"/>
              <w:right w:val="outset" w:color="auto" w:sz="6" w:space="0"/>
            </w:tcBorders>
          </w:tcPr>
          <w:p w14:paraId="72A034BF">
            <w:pPr>
              <w:spacing w:after="160" w:line="259" w:lineRule="auto"/>
              <w:rPr>
                <w:b/>
              </w:rPr>
            </w:pPr>
            <w:r>
              <w:rPr>
                <w:b/>
              </w:rPr>
              <w:t>Meta</w:t>
            </w:r>
          </w:p>
        </w:tc>
        <w:tc>
          <w:tcPr>
            <w:tcW w:w="6543" w:type="dxa"/>
            <w:gridSpan w:val="2"/>
            <w:tcBorders>
              <w:top w:val="outset" w:color="auto" w:sz="6" w:space="0"/>
              <w:left w:val="outset" w:color="auto" w:sz="6" w:space="0"/>
              <w:bottom w:val="outset" w:color="auto" w:sz="6" w:space="0"/>
              <w:right w:val="outset" w:color="auto" w:sz="6" w:space="0"/>
            </w:tcBorders>
          </w:tcPr>
          <w:p w14:paraId="2DF6DF1E">
            <w:pPr>
              <w:spacing w:after="160" w:line="259" w:lineRule="auto"/>
              <w:rPr>
                <w:b/>
              </w:rPr>
            </w:pPr>
            <w:r>
              <w:rPr>
                <w:b/>
              </w:rPr>
              <w:t>Texto da meta</w:t>
            </w:r>
          </w:p>
        </w:tc>
      </w:tr>
      <w:tr w14:paraId="7BD0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93" w:type="dxa"/>
            <w:tcBorders>
              <w:top w:val="nil"/>
              <w:left w:val="outset" w:color="auto" w:sz="6" w:space="0"/>
              <w:bottom w:val="outset" w:color="auto" w:sz="6" w:space="0"/>
              <w:right w:val="outset" w:color="auto" w:sz="6" w:space="0"/>
            </w:tcBorders>
          </w:tcPr>
          <w:p w14:paraId="18328B21">
            <w:pPr>
              <w:spacing w:after="160" w:line="259" w:lineRule="auto"/>
            </w:pPr>
            <w:r>
              <w:t>7</w:t>
            </w:r>
          </w:p>
          <w:p w14:paraId="1C8AF126">
            <w:pPr>
              <w:spacing w:after="160" w:line="259" w:lineRule="auto"/>
            </w:pPr>
          </w:p>
          <w:p w14:paraId="0578EA69">
            <w:pPr>
              <w:spacing w:after="160" w:line="259" w:lineRule="auto"/>
            </w:pPr>
          </w:p>
          <w:p w14:paraId="2DED1444">
            <w:pPr>
              <w:spacing w:after="160" w:line="259" w:lineRule="auto"/>
            </w:pPr>
          </w:p>
        </w:tc>
        <w:tc>
          <w:tcPr>
            <w:tcW w:w="6543" w:type="dxa"/>
            <w:gridSpan w:val="2"/>
            <w:tcBorders>
              <w:top w:val="nil"/>
              <w:left w:val="outset" w:color="auto" w:sz="6" w:space="0"/>
              <w:bottom w:val="outset" w:color="auto" w:sz="6" w:space="0"/>
              <w:right w:val="outset" w:color="auto" w:sz="6" w:space="0"/>
            </w:tcBorders>
          </w:tcPr>
          <w:p w14:paraId="28B7362B">
            <w:pPr>
              <w:spacing w:after="160" w:line="259" w:lineRule="auto"/>
              <w:jc w:val="both"/>
            </w:pPr>
            <w:r>
              <w:t>Fomentar a qualidade da educação básica em todas as etapas e modalidades, com melhoria do fluxo escolar e da aprendizagem de modo a atingir as seguintes médias nacionais para o IDEB nos anos 2015, 2017, 2019 e 2021, com respeito aos anos iniciais do ensino fundamental, respectivamente: 5,2 - 5,5 - 5,7 - 6,0; aos anos finais do ensino fundamental: 4,7 - 5,0 - 5,2 - 5,5; e ao ensino médio: 4,3 - 4,7 - 5,0 - 5,2.</w:t>
            </w:r>
          </w:p>
        </w:tc>
      </w:tr>
      <w:tr w14:paraId="5352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outset" w:color="auto" w:sz="6" w:space="0"/>
              <w:left w:val="outset" w:color="auto" w:sz="6" w:space="0"/>
              <w:bottom w:val="outset" w:color="auto" w:sz="6" w:space="0"/>
              <w:right w:val="outset" w:color="auto" w:sz="6" w:space="0"/>
            </w:tcBorders>
          </w:tcPr>
          <w:p w14:paraId="227D00A1">
            <w:pPr>
              <w:rPr>
                <w:rFonts w:hint="default"/>
                <w:lang w:val="pt-BR"/>
              </w:rPr>
            </w:pPr>
            <w:r>
              <w:rPr>
                <w:b/>
              </w:rPr>
              <w:t xml:space="preserve"> </w:t>
            </w:r>
            <w:r>
              <w:t xml:space="preserve">Indicador </w:t>
            </w:r>
            <w:r>
              <w:rPr>
                <w:rFonts w:hint="default"/>
                <w:lang w:val="pt-BR"/>
              </w:rPr>
              <w:t>7A Nacional</w:t>
            </w:r>
          </w:p>
        </w:tc>
        <w:tc>
          <w:tcPr>
            <w:tcW w:w="6523" w:type="dxa"/>
            <w:tcBorders>
              <w:top w:val="outset" w:color="auto" w:sz="6" w:space="0"/>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4147"/>
            </w:tblGrid>
            <w:tr w14:paraId="67B72729">
              <w:tblPrEx>
                <w:tblCellMar>
                  <w:top w:w="15" w:type="dxa"/>
                  <w:left w:w="15" w:type="dxa"/>
                  <w:bottom w:w="15" w:type="dxa"/>
                  <w:right w:w="15" w:type="dxa"/>
                </w:tblCellMar>
              </w:tblPrEx>
              <w:tc>
                <w:tcPr>
                  <w:tcW w:w="0" w:type="auto"/>
                  <w:tcBorders>
                    <w:top w:val="nil"/>
                    <w:left w:val="nil"/>
                    <w:bottom w:val="nil"/>
                    <w:right w:val="nil"/>
                  </w:tcBorders>
                </w:tcPr>
                <w:p w14:paraId="31A3ECC4">
                  <w:pPr>
                    <w:rPr>
                      <w:rFonts w:hint="default"/>
                      <w:lang w:val="pt-BR"/>
                    </w:rPr>
                  </w:pPr>
                  <w:r>
                    <w:t xml:space="preserve">Ideb dos anos iniciais do ensino fundamental </w:t>
                  </w:r>
                  <w:r>
                    <w:rPr>
                      <w:rFonts w:hint="default"/>
                      <w:lang w:val="pt-BR"/>
                    </w:rPr>
                    <w:t>.</w:t>
                  </w:r>
                </w:p>
              </w:tc>
            </w:tr>
          </w:tbl>
          <w:p w14:paraId="7693F732">
            <w:pPr>
              <w:spacing w:after="160" w:line="259" w:lineRule="auto"/>
            </w:pPr>
          </w:p>
        </w:tc>
      </w:tr>
      <w:tr w14:paraId="1628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outset" w:color="auto" w:sz="6" w:space="0"/>
              <w:left w:val="outset" w:color="auto" w:sz="6" w:space="0"/>
              <w:bottom w:val="outset" w:color="auto" w:sz="6" w:space="0"/>
              <w:right w:val="outset" w:color="auto" w:sz="6" w:space="0"/>
            </w:tcBorders>
          </w:tcPr>
          <w:p w14:paraId="789C457D">
            <w:pPr>
              <w:rPr>
                <w:rFonts w:hint="default"/>
                <w:b w:val="0"/>
                <w:bCs/>
                <w:lang w:val="pt-BR"/>
              </w:rPr>
            </w:pPr>
            <w:r>
              <w:rPr>
                <w:rFonts w:hint="default"/>
                <w:b w:val="0"/>
                <w:bCs/>
                <w:lang w:val="pt-BR"/>
              </w:rPr>
              <w:t>Indicador 7A Proposto</w:t>
            </w:r>
          </w:p>
        </w:tc>
        <w:tc>
          <w:tcPr>
            <w:tcW w:w="6523" w:type="dxa"/>
            <w:tcBorders>
              <w:top w:val="outset" w:color="auto" w:sz="6" w:space="0"/>
              <w:left w:val="outset" w:color="auto" w:sz="6" w:space="0"/>
              <w:bottom w:val="outset" w:color="auto" w:sz="6" w:space="0"/>
              <w:right w:val="outset" w:color="auto" w:sz="6" w:space="0"/>
            </w:tcBorders>
          </w:tcPr>
          <w:p w14:paraId="6263F409">
            <w:pPr>
              <w:spacing w:after="160" w:line="259" w:lineRule="auto"/>
              <w:rPr>
                <w:rFonts w:hint="default"/>
                <w:b w:val="0"/>
                <w:bCs/>
                <w:lang w:val="pt-BR"/>
              </w:rPr>
            </w:pPr>
            <w:r>
              <w:rPr>
                <w:rFonts w:hint="default"/>
                <w:b w:val="0"/>
                <w:bCs/>
                <w:lang w:val="pt-BR"/>
              </w:rPr>
              <w:t>Replicar o nacional.</w:t>
            </w:r>
          </w:p>
        </w:tc>
      </w:tr>
      <w:tr w14:paraId="281C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nil"/>
              <w:left w:val="outset" w:color="auto" w:sz="6" w:space="0"/>
              <w:bottom w:val="outset" w:color="auto" w:sz="6" w:space="0"/>
              <w:right w:val="outset" w:color="auto" w:sz="6" w:space="0"/>
            </w:tcBorders>
          </w:tcPr>
          <w:p w14:paraId="7E25D77C">
            <w:pPr>
              <w:spacing w:after="160" w:line="259" w:lineRule="auto"/>
            </w:pPr>
            <w:r>
              <w:t>Fórmula de cálculo</w:t>
            </w:r>
          </w:p>
        </w:tc>
        <w:tc>
          <w:tcPr>
            <w:tcW w:w="6523"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6493"/>
            </w:tblGrid>
            <w:tr w14:paraId="33BA1344">
              <w:tblPrEx>
                <w:tblCellMar>
                  <w:top w:w="15" w:type="dxa"/>
                  <w:left w:w="15" w:type="dxa"/>
                  <w:bottom w:w="15" w:type="dxa"/>
                  <w:right w:w="15" w:type="dxa"/>
                </w:tblCellMar>
              </w:tblPrEx>
              <w:tc>
                <w:tcPr>
                  <w:tcW w:w="0" w:type="auto"/>
                  <w:tcBorders>
                    <w:top w:val="nil"/>
                    <w:left w:val="nil"/>
                    <w:bottom w:val="nil"/>
                    <w:right w:val="nil"/>
                  </w:tcBorders>
                </w:tcPr>
                <w:p w14:paraId="04DCFE5E">
                  <w:pPr>
                    <w:jc w:val="both"/>
                    <w:rPr>
                      <w:rFonts w:hint="default"/>
                      <w:lang w:val="pt-BR"/>
                    </w:rPr>
                  </w:pPr>
                  <w:r>
                    <w:t>Taxa média de aprovação nos anos iniciais do ensino fundamental x Proficiência média padronizada dos alunos do 5º ano do ensino fundamental nas avaliações do Saeb</w:t>
                  </w:r>
                  <w:r>
                    <w:rPr>
                      <w:rFonts w:hint="default"/>
                      <w:lang w:val="pt-BR"/>
                    </w:rPr>
                    <w:t>.</w:t>
                  </w:r>
                </w:p>
              </w:tc>
            </w:tr>
          </w:tbl>
          <w:p w14:paraId="52D5C816">
            <w:pPr>
              <w:spacing w:after="160" w:line="259" w:lineRule="auto"/>
            </w:pPr>
          </w:p>
        </w:tc>
      </w:tr>
      <w:tr w14:paraId="4837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nil"/>
              <w:left w:val="outset" w:color="auto" w:sz="6" w:space="0"/>
              <w:bottom w:val="outset" w:color="auto" w:sz="6" w:space="0"/>
              <w:right w:val="outset" w:color="auto" w:sz="6" w:space="0"/>
            </w:tcBorders>
          </w:tcPr>
          <w:p w14:paraId="5166A777">
            <w:pPr>
              <w:spacing w:after="160" w:line="259" w:lineRule="auto"/>
            </w:pPr>
            <w:r>
              <w:t>Comentários</w:t>
            </w:r>
          </w:p>
        </w:tc>
        <w:tc>
          <w:tcPr>
            <w:tcW w:w="6523" w:type="dxa"/>
            <w:tcBorders>
              <w:top w:val="nil"/>
              <w:left w:val="outset" w:color="auto" w:sz="6" w:space="0"/>
              <w:bottom w:val="outset" w:color="auto" w:sz="6" w:space="0"/>
              <w:right w:val="outset" w:color="auto" w:sz="6" w:space="0"/>
            </w:tcBorders>
          </w:tcPr>
          <w:p w14:paraId="3BB28F97">
            <w:pPr>
              <w:spacing w:after="160" w:line="259" w:lineRule="auto"/>
              <w:rPr>
                <w:rFonts w:hint="default"/>
                <w:lang w:val="pt-BR"/>
              </w:rPr>
            </w:pPr>
            <w:r>
              <w:t>Já calculado e disponibilizado pelo INEP</w:t>
            </w:r>
            <w:r>
              <w:rPr>
                <w:rFonts w:hint="default"/>
                <w:lang w:val="pt-BR"/>
              </w:rPr>
              <w:t>.</w:t>
            </w:r>
          </w:p>
          <w:p w14:paraId="108C9193">
            <w:pPr>
              <w:spacing w:after="160" w:line="259" w:lineRule="auto"/>
            </w:pPr>
          </w:p>
        </w:tc>
      </w:tr>
    </w:tbl>
    <w:p w14:paraId="78D525AF">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120"/>
        <w:gridCol w:w="1785"/>
        <w:gridCol w:w="1785"/>
        <w:gridCol w:w="1785"/>
        <w:gridCol w:w="1785"/>
        <w:gridCol w:w="1785"/>
        <w:gridCol w:w="2098"/>
      </w:tblGrid>
      <w:tr w14:paraId="4A7B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0" w:type="dxa"/>
            <w:gridSpan w:val="8"/>
          </w:tcPr>
          <w:p w14:paraId="5C3C9FAA">
            <w:pPr>
              <w:jc w:val="center"/>
              <w:rPr>
                <w:rFonts w:hint="default"/>
                <w:b/>
                <w:bCs/>
                <w:vertAlign w:val="baseline"/>
                <w:lang w:val="pt-BR"/>
              </w:rPr>
            </w:pPr>
            <w:r>
              <w:rPr>
                <w:rFonts w:hint="default"/>
                <w:b/>
                <w:bCs/>
                <w:vertAlign w:val="baseline"/>
                <w:lang w:val="pt-BR"/>
              </w:rPr>
              <w:t>Dados/Indicadores: Indicador 7A</w:t>
            </w:r>
          </w:p>
        </w:tc>
      </w:tr>
      <w:tr w14:paraId="26CF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67" w:type="dxa"/>
            <w:gridSpan w:val="2"/>
            <w:tcBorders>
              <w:top w:val="outset" w:color="auto" w:sz="6" w:space="0"/>
              <w:left w:val="outset" w:color="auto" w:sz="6" w:space="0"/>
              <w:bottom w:val="outset" w:color="auto" w:sz="6" w:space="0"/>
              <w:right w:val="outset" w:color="auto" w:sz="6" w:space="0"/>
            </w:tcBorders>
          </w:tcPr>
          <w:p w14:paraId="216CC9C9">
            <w:pPr>
              <w:spacing w:after="160" w:line="259" w:lineRule="auto"/>
              <w:rPr>
                <w:rFonts w:hint="default"/>
                <w:lang w:val="pt-BR"/>
              </w:rPr>
            </w:pPr>
            <w:r>
              <w:rPr>
                <w:rFonts w:hint="default"/>
                <w:lang w:val="pt-BR"/>
              </w:rPr>
              <w:t xml:space="preserve">Ano </w:t>
            </w:r>
          </w:p>
        </w:tc>
        <w:tc>
          <w:tcPr>
            <w:tcW w:w="1785" w:type="dxa"/>
            <w:tcBorders>
              <w:top w:val="outset" w:color="auto" w:sz="6" w:space="0"/>
              <w:left w:val="outset" w:color="auto" w:sz="6" w:space="0"/>
              <w:bottom w:val="outset" w:color="auto" w:sz="6" w:space="0"/>
              <w:right w:val="outset" w:color="auto" w:sz="6" w:space="0"/>
            </w:tcBorders>
          </w:tcPr>
          <w:p w14:paraId="29F86C9A">
            <w:pPr>
              <w:spacing w:after="160" w:line="259" w:lineRule="auto"/>
            </w:pPr>
            <w:r>
              <w:t>2013</w:t>
            </w:r>
          </w:p>
        </w:tc>
        <w:tc>
          <w:tcPr>
            <w:tcW w:w="1785" w:type="dxa"/>
            <w:tcBorders>
              <w:top w:val="outset" w:color="auto" w:sz="6" w:space="0"/>
              <w:left w:val="outset" w:color="auto" w:sz="6" w:space="0"/>
              <w:bottom w:val="outset" w:color="auto" w:sz="6" w:space="0"/>
              <w:right w:val="outset" w:color="auto" w:sz="6" w:space="0"/>
            </w:tcBorders>
          </w:tcPr>
          <w:p w14:paraId="5AE90190">
            <w:pPr>
              <w:spacing w:after="160" w:line="259" w:lineRule="auto"/>
            </w:pPr>
            <w:r>
              <w:t>2015</w:t>
            </w:r>
          </w:p>
        </w:tc>
        <w:tc>
          <w:tcPr>
            <w:tcW w:w="1785" w:type="dxa"/>
            <w:tcBorders>
              <w:top w:val="outset" w:color="auto" w:sz="6" w:space="0"/>
              <w:left w:val="outset" w:color="auto" w:sz="6" w:space="0"/>
              <w:bottom w:val="outset" w:color="auto" w:sz="6" w:space="0"/>
              <w:right w:val="outset" w:color="auto" w:sz="6" w:space="0"/>
            </w:tcBorders>
          </w:tcPr>
          <w:p w14:paraId="186D102C">
            <w:pPr>
              <w:spacing w:after="160" w:line="259" w:lineRule="auto"/>
            </w:pPr>
            <w:r>
              <w:t>2017</w:t>
            </w:r>
          </w:p>
        </w:tc>
        <w:tc>
          <w:tcPr>
            <w:tcW w:w="1785" w:type="dxa"/>
            <w:tcBorders>
              <w:top w:val="outset" w:color="auto" w:sz="6" w:space="0"/>
              <w:left w:val="outset" w:color="auto" w:sz="6" w:space="0"/>
              <w:bottom w:val="outset" w:color="auto" w:sz="6" w:space="0"/>
              <w:right w:val="outset" w:color="auto" w:sz="6" w:space="0"/>
            </w:tcBorders>
          </w:tcPr>
          <w:p w14:paraId="22A61EB5">
            <w:pPr>
              <w:spacing w:after="160" w:line="259" w:lineRule="auto"/>
            </w:pPr>
            <w:r>
              <w:t>2019</w:t>
            </w:r>
          </w:p>
        </w:tc>
        <w:tc>
          <w:tcPr>
            <w:tcW w:w="1785" w:type="dxa"/>
            <w:tcBorders>
              <w:top w:val="outset" w:color="auto" w:sz="6" w:space="0"/>
              <w:left w:val="outset" w:color="auto" w:sz="6" w:space="0"/>
              <w:bottom w:val="outset" w:color="auto" w:sz="6" w:space="0"/>
              <w:right w:val="outset" w:color="auto" w:sz="6" w:space="0"/>
            </w:tcBorders>
          </w:tcPr>
          <w:p w14:paraId="16308579">
            <w:pPr>
              <w:spacing w:after="160" w:line="259" w:lineRule="auto"/>
            </w:pPr>
            <w:r>
              <w:t>2021</w:t>
            </w:r>
          </w:p>
        </w:tc>
        <w:tc>
          <w:tcPr>
            <w:tcW w:w="2098" w:type="dxa"/>
            <w:tcBorders>
              <w:top w:val="outset" w:color="auto" w:sz="6" w:space="0"/>
              <w:left w:val="outset" w:color="auto" w:sz="6" w:space="0"/>
              <w:bottom w:val="outset" w:color="auto" w:sz="6" w:space="0"/>
              <w:right w:val="outset" w:color="auto" w:sz="6" w:space="0"/>
            </w:tcBorders>
          </w:tcPr>
          <w:p w14:paraId="5CFD705B">
            <w:pPr>
              <w:spacing w:after="0" w:line="240" w:lineRule="auto"/>
            </w:pPr>
            <w:r>
              <w:t>2023</w:t>
            </w:r>
          </w:p>
        </w:tc>
      </w:tr>
      <w:tr w14:paraId="777B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67" w:type="dxa"/>
            <w:gridSpan w:val="2"/>
            <w:tcBorders>
              <w:top w:val="nil"/>
              <w:left w:val="outset" w:color="auto" w:sz="6" w:space="0"/>
              <w:bottom w:val="outset" w:color="auto" w:sz="6" w:space="0"/>
              <w:right w:val="outset" w:color="auto" w:sz="6" w:space="0"/>
            </w:tcBorders>
          </w:tcPr>
          <w:p w14:paraId="08A39B53">
            <w:pPr>
              <w:spacing w:after="160" w:line="259" w:lineRule="auto"/>
            </w:pPr>
            <w:r>
              <w:t>Indicador 1</w:t>
            </w:r>
          </w:p>
        </w:tc>
        <w:tc>
          <w:tcPr>
            <w:tcW w:w="1785" w:type="dxa"/>
            <w:tcBorders>
              <w:top w:val="nil"/>
              <w:left w:val="outset" w:color="auto" w:sz="6" w:space="0"/>
              <w:bottom w:val="outset" w:color="auto" w:sz="6" w:space="0"/>
              <w:right w:val="outset" w:color="auto" w:sz="6" w:space="0"/>
            </w:tcBorders>
          </w:tcPr>
          <w:p w14:paraId="24D31164">
            <w:pPr>
              <w:spacing w:after="160" w:line="259" w:lineRule="auto"/>
              <w:rPr>
                <w:rFonts w:hint="default"/>
                <w:lang w:val="pt-BR"/>
              </w:rPr>
            </w:pPr>
            <w:r>
              <w:t>6,</w:t>
            </w:r>
            <w:r>
              <w:rPr>
                <w:rFonts w:hint="default"/>
                <w:lang w:val="pt-BR"/>
              </w:rPr>
              <w:t>1</w:t>
            </w:r>
          </w:p>
        </w:tc>
        <w:tc>
          <w:tcPr>
            <w:tcW w:w="1785" w:type="dxa"/>
            <w:tcBorders>
              <w:top w:val="nil"/>
              <w:left w:val="outset" w:color="auto" w:sz="6" w:space="0"/>
              <w:bottom w:val="outset" w:color="auto" w:sz="6" w:space="0"/>
              <w:right w:val="outset" w:color="auto" w:sz="6" w:space="0"/>
            </w:tcBorders>
          </w:tcPr>
          <w:p w14:paraId="237AD91C">
            <w:pPr>
              <w:spacing w:after="160" w:line="259" w:lineRule="auto"/>
              <w:rPr>
                <w:rFonts w:hint="default"/>
                <w:lang w:val="pt-BR"/>
              </w:rPr>
            </w:pPr>
            <w:r>
              <w:t>6,</w:t>
            </w:r>
            <w:r>
              <w:rPr>
                <w:rFonts w:hint="default"/>
                <w:lang w:val="pt-BR"/>
              </w:rPr>
              <w:t>7</w:t>
            </w:r>
          </w:p>
        </w:tc>
        <w:tc>
          <w:tcPr>
            <w:tcW w:w="1785" w:type="dxa"/>
            <w:tcBorders>
              <w:top w:val="nil"/>
              <w:left w:val="outset" w:color="auto" w:sz="6" w:space="0"/>
              <w:bottom w:val="outset" w:color="auto" w:sz="6" w:space="0"/>
              <w:right w:val="outset" w:color="auto" w:sz="6" w:space="0"/>
            </w:tcBorders>
          </w:tcPr>
          <w:p w14:paraId="37C8D71E">
            <w:pPr>
              <w:spacing w:after="160" w:line="259" w:lineRule="auto"/>
              <w:rPr>
                <w:rFonts w:hint="default"/>
                <w:lang w:val="pt-BR"/>
              </w:rPr>
            </w:pPr>
            <w:r>
              <w:t>6,</w:t>
            </w:r>
            <w:r>
              <w:rPr>
                <w:rFonts w:hint="default"/>
                <w:lang w:val="pt-BR"/>
              </w:rPr>
              <w:t>4</w:t>
            </w:r>
          </w:p>
        </w:tc>
        <w:tc>
          <w:tcPr>
            <w:tcW w:w="1785" w:type="dxa"/>
            <w:tcBorders>
              <w:top w:val="nil"/>
              <w:left w:val="outset" w:color="auto" w:sz="6" w:space="0"/>
              <w:bottom w:val="outset" w:color="auto" w:sz="6" w:space="0"/>
              <w:right w:val="outset" w:color="auto" w:sz="6" w:space="0"/>
            </w:tcBorders>
          </w:tcPr>
          <w:p w14:paraId="2666D2D3">
            <w:pPr>
              <w:spacing w:after="160" w:line="259" w:lineRule="auto"/>
            </w:pPr>
            <w:r>
              <w:t>6,5</w:t>
            </w:r>
          </w:p>
        </w:tc>
        <w:tc>
          <w:tcPr>
            <w:tcW w:w="1785" w:type="dxa"/>
            <w:tcBorders>
              <w:top w:val="nil"/>
              <w:left w:val="outset" w:color="auto" w:sz="6" w:space="0"/>
              <w:bottom w:val="outset" w:color="auto" w:sz="6" w:space="0"/>
              <w:right w:val="outset" w:color="auto" w:sz="6" w:space="0"/>
            </w:tcBorders>
          </w:tcPr>
          <w:p w14:paraId="5D08273F">
            <w:pPr>
              <w:spacing w:after="160" w:line="259" w:lineRule="auto"/>
            </w:pPr>
            <w:r>
              <w:t>6,5</w:t>
            </w:r>
          </w:p>
        </w:tc>
        <w:tc>
          <w:tcPr>
            <w:tcW w:w="2098" w:type="dxa"/>
            <w:tcBorders>
              <w:top w:val="nil"/>
              <w:left w:val="outset" w:color="auto" w:sz="6" w:space="0"/>
              <w:bottom w:val="outset" w:color="auto" w:sz="6" w:space="0"/>
              <w:right w:val="outset" w:color="auto" w:sz="6" w:space="0"/>
            </w:tcBorders>
          </w:tcPr>
          <w:p w14:paraId="6F188BDD">
            <w:pPr>
              <w:spacing w:after="0" w:line="240" w:lineRule="auto"/>
            </w:pPr>
            <w:r>
              <w:t>6,5</w:t>
            </w:r>
          </w:p>
        </w:tc>
      </w:tr>
      <w:tr w14:paraId="57DD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847" w:type="dxa"/>
            <w:tcBorders>
              <w:top w:val="nil"/>
              <w:left w:val="nil"/>
              <w:bottom w:val="nil"/>
              <w:right w:val="nil"/>
            </w:tcBorders>
          </w:tcPr>
          <w:p w14:paraId="705C0B26">
            <w:pPr>
              <w:spacing w:after="0" w:line="240" w:lineRule="auto"/>
            </w:pPr>
          </w:p>
        </w:tc>
        <w:tc>
          <w:tcPr>
            <w:tcW w:w="11143" w:type="dxa"/>
            <w:gridSpan w:val="7"/>
            <w:tcBorders>
              <w:top w:val="nil"/>
              <w:left w:val="nil"/>
              <w:bottom w:val="nil"/>
              <w:right w:val="nil"/>
            </w:tcBorders>
          </w:tcPr>
          <w:p w14:paraId="779DFB49">
            <w:pPr>
              <w:spacing w:after="160" w:line="259" w:lineRule="auto"/>
            </w:pPr>
            <w:r>
              <w:t xml:space="preserve">    Fonte: INEP                                                                                                                                                                                                                                                                                                                                                                                                                                                                                                                                                                                                                                                                                                                                                                                                                                                                                                                                                                                                                                                                                                                                                                                                                                                                                                                                                                                                                                                                                                                                                                                                                                                                                                                                                                                                                                                                                                                                                                                                                                                                                                                                                                                                                                                                                                                                                                                                                                                                                                                                                                                                                                                                                                                                                                                                                                                                                                                                                                                                                                                                                                                                                                                                                                                                                                                                                                                                                                                                                                                                                                                                                                                                                                                                                                                                                                                                                                                                                                                                                                                                                                                                                                                                 </w:t>
            </w:r>
            <w:r>
              <w:t xml:space="preserve">                                                                                                                                                                                                                                                                                                                                                                                                                                                                                                                                                                                                                                                                                                                                                                                                                                                                                                                                                                                                                                                                                                                                                                                                                                                                                                                                                                                                                                                                                                                                                                                                                                                                                                                                                                                                                                                                                                                                                                                                                                                                                                                                                                                                                                                                                                                                                                                                                                                                                                                                                                                                                                                                                                                                                                                                                                                                                                                                                                                                                                                                                                                                                                                                                                                                                                                                                                                                                                                                                                                                                                                                                                                                                                                                                                                                                                                                                                                                                                                                                                                                                                                </w:t>
            </w:r>
          </w:p>
        </w:tc>
      </w:tr>
    </w:tbl>
    <w:p w14:paraId="02BF62E0"/>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3"/>
        <w:gridCol w:w="20"/>
        <w:gridCol w:w="6523"/>
      </w:tblGrid>
      <w:tr w14:paraId="2DE9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211A1894">
            <w:pPr>
              <w:pStyle w:val="16"/>
              <w:numPr>
                <w:ilvl w:val="0"/>
                <w:numId w:val="0"/>
              </w:numPr>
              <w:jc w:val="center"/>
              <w:rPr>
                <w:rFonts w:hint="default"/>
                <w:b/>
                <w:vertAlign w:val="baseline"/>
                <w:lang w:val="pt-BR"/>
              </w:rPr>
            </w:pPr>
            <w:r>
              <w:rPr>
                <w:rFonts w:hint="default"/>
                <w:b/>
                <w:vertAlign w:val="baseline"/>
                <w:lang w:val="pt-BR"/>
              </w:rPr>
              <w:t>Ficha metodológica para o indicador 7B</w:t>
            </w:r>
            <w:r>
              <w:rPr>
                <w:rFonts w:hint="default"/>
                <w:b/>
                <w:bCs w:val="0"/>
                <w:vertAlign w:val="baseline"/>
                <w:lang w:val="pt-BR"/>
              </w:rPr>
              <w:t xml:space="preserve"> </w:t>
            </w:r>
            <w:r>
              <w:rPr>
                <w:rFonts w:hint="default"/>
                <w:b/>
                <w:vertAlign w:val="baseline"/>
                <w:lang w:val="pt-BR"/>
              </w:rPr>
              <w:t>- base PNE</w:t>
            </w:r>
          </w:p>
        </w:tc>
      </w:tr>
      <w:tr w14:paraId="0EF9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93" w:type="dxa"/>
            <w:tcBorders>
              <w:top w:val="outset" w:color="auto" w:sz="6" w:space="0"/>
              <w:left w:val="outset" w:color="auto" w:sz="6" w:space="0"/>
              <w:bottom w:val="outset" w:color="auto" w:sz="6" w:space="0"/>
              <w:right w:val="outset" w:color="auto" w:sz="6" w:space="0"/>
            </w:tcBorders>
          </w:tcPr>
          <w:p w14:paraId="5B2D0D0E">
            <w:pPr>
              <w:spacing w:after="160" w:line="259" w:lineRule="auto"/>
              <w:rPr>
                <w:b/>
              </w:rPr>
            </w:pPr>
            <w:r>
              <w:rPr>
                <w:b/>
              </w:rPr>
              <w:t>Meta</w:t>
            </w:r>
          </w:p>
        </w:tc>
        <w:tc>
          <w:tcPr>
            <w:tcW w:w="6543" w:type="dxa"/>
            <w:gridSpan w:val="2"/>
            <w:tcBorders>
              <w:top w:val="outset" w:color="auto" w:sz="6" w:space="0"/>
              <w:left w:val="outset" w:color="auto" w:sz="6" w:space="0"/>
              <w:bottom w:val="outset" w:color="auto" w:sz="6" w:space="0"/>
              <w:right w:val="outset" w:color="auto" w:sz="6" w:space="0"/>
            </w:tcBorders>
          </w:tcPr>
          <w:p w14:paraId="1A4FED61">
            <w:pPr>
              <w:spacing w:after="160" w:line="259" w:lineRule="auto"/>
              <w:rPr>
                <w:b/>
              </w:rPr>
            </w:pPr>
            <w:r>
              <w:rPr>
                <w:b/>
              </w:rPr>
              <w:t>Texto da meta</w:t>
            </w:r>
          </w:p>
        </w:tc>
      </w:tr>
      <w:tr w14:paraId="7CFC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93" w:type="dxa"/>
            <w:tcBorders>
              <w:top w:val="nil"/>
              <w:left w:val="outset" w:color="auto" w:sz="6" w:space="0"/>
              <w:bottom w:val="outset" w:color="auto" w:sz="6" w:space="0"/>
              <w:right w:val="outset" w:color="auto" w:sz="6" w:space="0"/>
            </w:tcBorders>
          </w:tcPr>
          <w:p w14:paraId="36F2A6FC">
            <w:pPr>
              <w:spacing w:after="160" w:line="259" w:lineRule="auto"/>
            </w:pPr>
            <w:r>
              <w:t>7</w:t>
            </w:r>
          </w:p>
          <w:p w14:paraId="1CF30F76">
            <w:pPr>
              <w:spacing w:after="160" w:line="259" w:lineRule="auto"/>
            </w:pPr>
          </w:p>
          <w:p w14:paraId="26FD6A5B">
            <w:pPr>
              <w:spacing w:after="160" w:line="259" w:lineRule="auto"/>
            </w:pPr>
          </w:p>
          <w:p w14:paraId="19CC3A83">
            <w:pPr>
              <w:spacing w:after="160" w:line="259" w:lineRule="auto"/>
            </w:pPr>
          </w:p>
        </w:tc>
        <w:tc>
          <w:tcPr>
            <w:tcW w:w="6543" w:type="dxa"/>
            <w:gridSpan w:val="2"/>
            <w:tcBorders>
              <w:top w:val="nil"/>
              <w:left w:val="outset" w:color="auto" w:sz="6" w:space="0"/>
              <w:bottom w:val="outset" w:color="auto" w:sz="6" w:space="0"/>
              <w:right w:val="outset" w:color="auto" w:sz="6" w:space="0"/>
            </w:tcBorders>
          </w:tcPr>
          <w:p w14:paraId="2472B15E">
            <w:pPr>
              <w:spacing w:after="160" w:line="259" w:lineRule="auto"/>
              <w:jc w:val="both"/>
            </w:pPr>
            <w:r>
              <w:t>Fomentar a qualidade da educação básica em todas as etapas e modalidades, com melhoria do fluxo escolar e da aprendizagem de modo a atingir as seguintes médias nacionais para o IDEB nos anos 2015, 2017, 2019 e 2021, com respeito aos anos iniciais do ensino fundamental, respectivamente: 5,2 - 5,5 - 5,7 - 6,0; aos anos finais do ensino fundamental: 4,7 - 5,0 - 5,2 - 5,5; e ao ensino médio: 4,3 - 4,7 - 5,0 - 5,2.</w:t>
            </w:r>
          </w:p>
        </w:tc>
      </w:tr>
      <w:tr w14:paraId="2501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outset" w:color="auto" w:sz="6" w:space="0"/>
              <w:left w:val="outset" w:color="auto" w:sz="6" w:space="0"/>
              <w:bottom w:val="outset" w:color="auto" w:sz="6" w:space="0"/>
              <w:right w:val="outset" w:color="auto" w:sz="6" w:space="0"/>
            </w:tcBorders>
          </w:tcPr>
          <w:p w14:paraId="01ED5BCB">
            <w:pPr>
              <w:spacing w:after="160" w:line="259" w:lineRule="auto"/>
              <w:rPr>
                <w:rFonts w:hint="default"/>
                <w:lang w:val="pt-BR"/>
              </w:rPr>
            </w:pPr>
            <w:r>
              <w:t xml:space="preserve">Indicador </w:t>
            </w:r>
            <w:r>
              <w:rPr>
                <w:rFonts w:hint="default"/>
                <w:lang w:val="pt-BR"/>
              </w:rPr>
              <w:t>7B Nacional</w:t>
            </w:r>
          </w:p>
        </w:tc>
        <w:tc>
          <w:tcPr>
            <w:tcW w:w="6523" w:type="dxa"/>
            <w:tcBorders>
              <w:top w:val="outset" w:color="auto" w:sz="6" w:space="0"/>
              <w:left w:val="outset" w:color="auto" w:sz="6" w:space="0"/>
              <w:bottom w:val="outset" w:color="auto" w:sz="6" w:space="0"/>
              <w:right w:val="outset" w:color="auto" w:sz="6" w:space="0"/>
            </w:tcBorders>
          </w:tcPr>
          <w:p w14:paraId="6279AFDC">
            <w:pPr>
              <w:spacing w:after="160" w:line="259" w:lineRule="auto"/>
            </w:pPr>
            <w:r>
              <w:t>Ideb dos anos finais do ensino fundamental - Replica do Nacional</w:t>
            </w:r>
          </w:p>
        </w:tc>
      </w:tr>
      <w:tr w14:paraId="7FFD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outset" w:color="auto" w:sz="6" w:space="0"/>
              <w:left w:val="outset" w:color="auto" w:sz="6" w:space="0"/>
              <w:bottom w:val="outset" w:color="auto" w:sz="6" w:space="0"/>
              <w:right w:val="outset" w:color="auto" w:sz="6" w:space="0"/>
            </w:tcBorders>
          </w:tcPr>
          <w:p w14:paraId="287449DB">
            <w:pPr>
              <w:spacing w:after="160" w:line="259" w:lineRule="auto"/>
              <w:rPr>
                <w:rFonts w:hint="default"/>
                <w:lang w:val="pt-BR"/>
              </w:rPr>
            </w:pPr>
            <w:r>
              <w:rPr>
                <w:rFonts w:hint="default"/>
                <w:lang w:val="pt-BR"/>
              </w:rPr>
              <w:t>Indicador 7B Proposto</w:t>
            </w:r>
          </w:p>
        </w:tc>
        <w:tc>
          <w:tcPr>
            <w:tcW w:w="6523" w:type="dxa"/>
            <w:tcBorders>
              <w:top w:val="outset" w:color="auto" w:sz="6" w:space="0"/>
              <w:left w:val="outset" w:color="auto" w:sz="6" w:space="0"/>
              <w:bottom w:val="outset" w:color="auto" w:sz="6" w:space="0"/>
              <w:right w:val="outset" w:color="auto" w:sz="6" w:space="0"/>
            </w:tcBorders>
          </w:tcPr>
          <w:p w14:paraId="26B5EE33">
            <w:pPr>
              <w:spacing w:after="160" w:line="259" w:lineRule="auto"/>
              <w:rPr>
                <w:rFonts w:hint="default"/>
                <w:lang w:val="pt-BR"/>
              </w:rPr>
            </w:pPr>
            <w:r>
              <w:rPr>
                <w:rFonts w:hint="default"/>
                <w:lang w:val="pt-BR"/>
              </w:rPr>
              <w:t>Replicar o nacional.</w:t>
            </w:r>
          </w:p>
        </w:tc>
      </w:tr>
      <w:tr w14:paraId="20CC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nil"/>
              <w:left w:val="outset" w:color="auto" w:sz="6" w:space="0"/>
              <w:bottom w:val="outset" w:color="auto" w:sz="6" w:space="0"/>
              <w:right w:val="outset" w:color="auto" w:sz="6" w:space="0"/>
            </w:tcBorders>
          </w:tcPr>
          <w:p w14:paraId="36592EF9">
            <w:pPr>
              <w:spacing w:after="160" w:line="259" w:lineRule="auto"/>
            </w:pPr>
            <w:r>
              <w:t>Fórmula de cálculo</w:t>
            </w:r>
          </w:p>
        </w:tc>
        <w:tc>
          <w:tcPr>
            <w:tcW w:w="6523" w:type="dxa"/>
            <w:tcBorders>
              <w:top w:val="nil"/>
              <w:left w:val="outset" w:color="auto" w:sz="6" w:space="0"/>
              <w:bottom w:val="outset" w:color="auto" w:sz="6" w:space="0"/>
              <w:right w:val="outset" w:color="auto" w:sz="6" w:space="0"/>
            </w:tcBorders>
          </w:tcPr>
          <w:p w14:paraId="1FF6360D">
            <w:pPr>
              <w:spacing w:after="160" w:line="259" w:lineRule="auto"/>
            </w:pPr>
            <w:r>
              <w:t xml:space="preserve">Taxa média de aprovação nos anos finais do ensino fundamental x Proficiência média padronizada dos alunos do 9º ano do ensino fundamental nas avaliações do Saeb </w:t>
            </w:r>
          </w:p>
        </w:tc>
      </w:tr>
      <w:tr w14:paraId="316A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nil"/>
              <w:left w:val="outset" w:color="auto" w:sz="6" w:space="0"/>
              <w:bottom w:val="outset" w:color="auto" w:sz="6" w:space="0"/>
              <w:right w:val="outset" w:color="auto" w:sz="6" w:space="0"/>
            </w:tcBorders>
          </w:tcPr>
          <w:p w14:paraId="669EEDC1">
            <w:pPr>
              <w:spacing w:after="160" w:line="259" w:lineRule="auto"/>
            </w:pPr>
            <w:r>
              <w:t>Comentários</w:t>
            </w:r>
          </w:p>
        </w:tc>
        <w:tc>
          <w:tcPr>
            <w:tcW w:w="6523" w:type="dxa"/>
            <w:tcBorders>
              <w:top w:val="nil"/>
              <w:left w:val="outset" w:color="auto" w:sz="6" w:space="0"/>
              <w:bottom w:val="outset" w:color="auto" w:sz="6" w:space="0"/>
              <w:right w:val="outset" w:color="auto" w:sz="6" w:space="0"/>
            </w:tcBorders>
          </w:tcPr>
          <w:p w14:paraId="35B69C01">
            <w:pPr>
              <w:spacing w:after="160" w:line="259" w:lineRule="auto"/>
            </w:pPr>
            <w:r>
              <w:t>Já calculado e disponibilizado pelo INEP</w:t>
            </w:r>
            <w:r>
              <w:rPr>
                <w:rFonts w:hint="default"/>
                <w:lang w:val="pt-BR"/>
              </w:rPr>
              <w:t>.</w:t>
            </w:r>
          </w:p>
        </w:tc>
      </w:tr>
    </w:tbl>
    <w:p w14:paraId="31B2AA1E">
      <w:r>
        <w:t xml:space="preserve"> </w:t>
      </w:r>
    </w:p>
    <w:p w14:paraId="6840DCF2"/>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120"/>
        <w:gridCol w:w="1785"/>
        <w:gridCol w:w="1785"/>
        <w:gridCol w:w="1785"/>
        <w:gridCol w:w="1785"/>
        <w:gridCol w:w="1785"/>
        <w:gridCol w:w="2098"/>
      </w:tblGrid>
      <w:tr w14:paraId="39B1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0" w:type="dxa"/>
            <w:gridSpan w:val="8"/>
          </w:tcPr>
          <w:p w14:paraId="47B8022D">
            <w:pPr>
              <w:jc w:val="center"/>
              <w:rPr>
                <w:rFonts w:hint="default"/>
                <w:b/>
                <w:bCs/>
                <w:vertAlign w:val="baseline"/>
                <w:lang w:val="pt-BR"/>
              </w:rPr>
            </w:pPr>
            <w:r>
              <w:rPr>
                <w:rFonts w:hint="default"/>
                <w:b/>
                <w:bCs/>
                <w:vertAlign w:val="baseline"/>
                <w:lang w:val="pt-BR"/>
              </w:rPr>
              <w:t>Dados/Indicadores: Indicador 7B</w:t>
            </w:r>
          </w:p>
        </w:tc>
      </w:tr>
      <w:tr w14:paraId="2F8B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67" w:type="dxa"/>
            <w:gridSpan w:val="2"/>
            <w:tcBorders>
              <w:top w:val="outset" w:color="auto" w:sz="6" w:space="0"/>
              <w:left w:val="outset" w:color="auto" w:sz="6" w:space="0"/>
              <w:bottom w:val="outset" w:color="auto" w:sz="6" w:space="0"/>
              <w:right w:val="outset" w:color="auto" w:sz="6" w:space="0"/>
            </w:tcBorders>
          </w:tcPr>
          <w:p w14:paraId="5FD50924">
            <w:pPr>
              <w:spacing w:after="160" w:line="259" w:lineRule="auto"/>
              <w:rPr>
                <w:rFonts w:hint="default"/>
                <w:lang w:val="pt-BR"/>
              </w:rPr>
            </w:pPr>
            <w:r>
              <w:rPr>
                <w:rFonts w:hint="default"/>
                <w:lang w:val="pt-BR"/>
              </w:rPr>
              <w:t xml:space="preserve">Ano </w:t>
            </w:r>
          </w:p>
        </w:tc>
        <w:tc>
          <w:tcPr>
            <w:tcW w:w="1785" w:type="dxa"/>
            <w:tcBorders>
              <w:top w:val="outset" w:color="auto" w:sz="6" w:space="0"/>
              <w:left w:val="outset" w:color="auto" w:sz="6" w:space="0"/>
              <w:bottom w:val="outset" w:color="auto" w:sz="6" w:space="0"/>
              <w:right w:val="outset" w:color="auto" w:sz="6" w:space="0"/>
            </w:tcBorders>
          </w:tcPr>
          <w:p w14:paraId="7351CE48">
            <w:pPr>
              <w:spacing w:after="160" w:line="259" w:lineRule="auto"/>
            </w:pPr>
            <w:r>
              <w:t>2013</w:t>
            </w:r>
          </w:p>
        </w:tc>
        <w:tc>
          <w:tcPr>
            <w:tcW w:w="1785" w:type="dxa"/>
            <w:tcBorders>
              <w:top w:val="outset" w:color="auto" w:sz="6" w:space="0"/>
              <w:left w:val="outset" w:color="auto" w:sz="6" w:space="0"/>
              <w:bottom w:val="outset" w:color="auto" w:sz="6" w:space="0"/>
              <w:right w:val="outset" w:color="auto" w:sz="6" w:space="0"/>
            </w:tcBorders>
          </w:tcPr>
          <w:p w14:paraId="70679756">
            <w:pPr>
              <w:spacing w:after="160" w:line="259" w:lineRule="auto"/>
            </w:pPr>
            <w:r>
              <w:t>2015</w:t>
            </w:r>
          </w:p>
        </w:tc>
        <w:tc>
          <w:tcPr>
            <w:tcW w:w="1785" w:type="dxa"/>
            <w:tcBorders>
              <w:top w:val="outset" w:color="auto" w:sz="6" w:space="0"/>
              <w:left w:val="outset" w:color="auto" w:sz="6" w:space="0"/>
              <w:bottom w:val="outset" w:color="auto" w:sz="6" w:space="0"/>
              <w:right w:val="outset" w:color="auto" w:sz="6" w:space="0"/>
            </w:tcBorders>
          </w:tcPr>
          <w:p w14:paraId="562C419A">
            <w:pPr>
              <w:spacing w:after="160" w:line="259" w:lineRule="auto"/>
            </w:pPr>
            <w:r>
              <w:t>2017</w:t>
            </w:r>
          </w:p>
        </w:tc>
        <w:tc>
          <w:tcPr>
            <w:tcW w:w="1785" w:type="dxa"/>
            <w:tcBorders>
              <w:top w:val="outset" w:color="auto" w:sz="6" w:space="0"/>
              <w:left w:val="outset" w:color="auto" w:sz="6" w:space="0"/>
              <w:bottom w:val="outset" w:color="auto" w:sz="6" w:space="0"/>
              <w:right w:val="outset" w:color="auto" w:sz="6" w:space="0"/>
            </w:tcBorders>
          </w:tcPr>
          <w:p w14:paraId="05895660">
            <w:pPr>
              <w:spacing w:after="160" w:line="259" w:lineRule="auto"/>
            </w:pPr>
            <w:r>
              <w:t>2019</w:t>
            </w:r>
          </w:p>
        </w:tc>
        <w:tc>
          <w:tcPr>
            <w:tcW w:w="1785" w:type="dxa"/>
            <w:tcBorders>
              <w:top w:val="outset" w:color="auto" w:sz="6" w:space="0"/>
              <w:left w:val="outset" w:color="auto" w:sz="6" w:space="0"/>
              <w:bottom w:val="outset" w:color="auto" w:sz="6" w:space="0"/>
              <w:right w:val="outset" w:color="auto" w:sz="6" w:space="0"/>
            </w:tcBorders>
          </w:tcPr>
          <w:p w14:paraId="1DE53F0D">
            <w:pPr>
              <w:spacing w:after="160" w:line="259" w:lineRule="auto"/>
            </w:pPr>
            <w:r>
              <w:t>2021</w:t>
            </w:r>
          </w:p>
        </w:tc>
        <w:tc>
          <w:tcPr>
            <w:tcW w:w="2098" w:type="dxa"/>
            <w:tcBorders>
              <w:top w:val="outset" w:color="auto" w:sz="6" w:space="0"/>
              <w:left w:val="outset" w:color="auto" w:sz="6" w:space="0"/>
              <w:bottom w:val="outset" w:color="auto" w:sz="6" w:space="0"/>
              <w:right w:val="outset" w:color="auto" w:sz="6" w:space="0"/>
            </w:tcBorders>
          </w:tcPr>
          <w:p w14:paraId="0E003991">
            <w:pPr>
              <w:spacing w:after="0" w:line="240" w:lineRule="auto"/>
            </w:pPr>
            <w:r>
              <w:t>2023</w:t>
            </w:r>
          </w:p>
        </w:tc>
      </w:tr>
      <w:tr w14:paraId="68C3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67" w:type="dxa"/>
            <w:gridSpan w:val="2"/>
            <w:tcBorders>
              <w:top w:val="nil"/>
              <w:left w:val="outset" w:color="auto" w:sz="6" w:space="0"/>
              <w:bottom w:val="outset" w:color="auto" w:sz="6" w:space="0"/>
              <w:right w:val="outset" w:color="auto" w:sz="6" w:space="0"/>
            </w:tcBorders>
          </w:tcPr>
          <w:p w14:paraId="483C71FD">
            <w:pPr>
              <w:spacing w:after="160" w:line="259" w:lineRule="auto"/>
            </w:pPr>
            <w:r>
              <w:t>Indicador 1</w:t>
            </w:r>
          </w:p>
        </w:tc>
        <w:tc>
          <w:tcPr>
            <w:tcW w:w="1785" w:type="dxa"/>
            <w:tcBorders>
              <w:top w:val="nil"/>
              <w:left w:val="outset" w:color="auto" w:sz="6" w:space="0"/>
              <w:bottom w:val="outset" w:color="auto" w:sz="6" w:space="0"/>
              <w:right w:val="outset" w:color="auto" w:sz="6" w:space="0"/>
            </w:tcBorders>
          </w:tcPr>
          <w:p w14:paraId="16906E79">
            <w:pPr>
              <w:spacing w:after="160" w:line="259" w:lineRule="auto"/>
              <w:rPr>
                <w:rFonts w:hint="default"/>
                <w:lang w:val="pt-BR"/>
              </w:rPr>
            </w:pPr>
            <w:r>
              <w:rPr>
                <w:rFonts w:hint="default"/>
                <w:lang w:val="pt-BR"/>
              </w:rPr>
              <w:t>4,4</w:t>
            </w:r>
          </w:p>
        </w:tc>
        <w:tc>
          <w:tcPr>
            <w:tcW w:w="1785" w:type="dxa"/>
            <w:tcBorders>
              <w:top w:val="nil"/>
              <w:left w:val="outset" w:color="auto" w:sz="6" w:space="0"/>
              <w:bottom w:val="outset" w:color="auto" w:sz="6" w:space="0"/>
              <w:right w:val="outset" w:color="auto" w:sz="6" w:space="0"/>
            </w:tcBorders>
          </w:tcPr>
          <w:p w14:paraId="782B9368">
            <w:pPr>
              <w:spacing w:after="160" w:line="259" w:lineRule="auto"/>
              <w:rPr>
                <w:rFonts w:hint="default"/>
                <w:lang w:val="pt-BR"/>
              </w:rPr>
            </w:pPr>
            <w:r>
              <w:rPr>
                <w:rFonts w:hint="default"/>
                <w:lang w:val="pt-BR"/>
              </w:rPr>
              <w:t>4,2</w:t>
            </w:r>
          </w:p>
        </w:tc>
        <w:tc>
          <w:tcPr>
            <w:tcW w:w="1785" w:type="dxa"/>
            <w:tcBorders>
              <w:top w:val="nil"/>
              <w:left w:val="outset" w:color="auto" w:sz="6" w:space="0"/>
              <w:bottom w:val="outset" w:color="auto" w:sz="6" w:space="0"/>
              <w:right w:val="outset" w:color="auto" w:sz="6" w:space="0"/>
            </w:tcBorders>
          </w:tcPr>
          <w:p w14:paraId="665356D0">
            <w:pPr>
              <w:spacing w:after="160" w:line="259" w:lineRule="auto"/>
              <w:rPr>
                <w:rFonts w:hint="default"/>
                <w:lang w:val="pt-BR"/>
              </w:rPr>
            </w:pPr>
            <w:r>
              <w:rPr>
                <w:rFonts w:hint="default"/>
                <w:lang w:val="pt-BR"/>
              </w:rPr>
              <w:t>4,9</w:t>
            </w:r>
          </w:p>
        </w:tc>
        <w:tc>
          <w:tcPr>
            <w:tcW w:w="1785" w:type="dxa"/>
            <w:tcBorders>
              <w:top w:val="nil"/>
              <w:left w:val="outset" w:color="auto" w:sz="6" w:space="0"/>
              <w:bottom w:val="outset" w:color="auto" w:sz="6" w:space="0"/>
              <w:right w:val="outset" w:color="auto" w:sz="6" w:space="0"/>
            </w:tcBorders>
          </w:tcPr>
          <w:p w14:paraId="2CCCCAC6">
            <w:pPr>
              <w:spacing w:after="160" w:line="259" w:lineRule="auto"/>
              <w:rPr>
                <w:rFonts w:hint="default"/>
                <w:lang w:val="pt-BR"/>
              </w:rPr>
            </w:pPr>
            <w:r>
              <w:rPr>
                <w:rFonts w:hint="default"/>
                <w:lang w:val="pt-BR"/>
              </w:rPr>
              <w:t>5,6</w:t>
            </w:r>
          </w:p>
        </w:tc>
        <w:tc>
          <w:tcPr>
            <w:tcW w:w="1785" w:type="dxa"/>
            <w:tcBorders>
              <w:top w:val="nil"/>
              <w:left w:val="outset" w:color="auto" w:sz="6" w:space="0"/>
              <w:bottom w:val="outset" w:color="auto" w:sz="6" w:space="0"/>
              <w:right w:val="outset" w:color="auto" w:sz="6" w:space="0"/>
            </w:tcBorders>
          </w:tcPr>
          <w:p w14:paraId="6D7F7148">
            <w:pPr>
              <w:spacing w:after="160" w:line="259" w:lineRule="auto"/>
              <w:rPr>
                <w:rFonts w:hint="default"/>
                <w:lang w:val="pt-BR"/>
              </w:rPr>
            </w:pPr>
            <w:r>
              <w:rPr>
                <w:rFonts w:hint="default"/>
                <w:lang w:val="pt-BR"/>
              </w:rPr>
              <w:t>4,8</w:t>
            </w:r>
          </w:p>
        </w:tc>
        <w:tc>
          <w:tcPr>
            <w:tcW w:w="2098" w:type="dxa"/>
            <w:tcBorders>
              <w:top w:val="nil"/>
              <w:left w:val="outset" w:color="auto" w:sz="6" w:space="0"/>
              <w:bottom w:val="outset" w:color="auto" w:sz="6" w:space="0"/>
              <w:right w:val="outset" w:color="auto" w:sz="6" w:space="0"/>
            </w:tcBorders>
          </w:tcPr>
          <w:p w14:paraId="1265A9AA">
            <w:pPr>
              <w:spacing w:after="0" w:line="240" w:lineRule="auto"/>
              <w:rPr>
                <w:rFonts w:hint="default"/>
                <w:lang w:val="pt-BR"/>
              </w:rPr>
            </w:pPr>
            <w:r>
              <w:rPr>
                <w:rFonts w:hint="default"/>
                <w:lang w:val="pt-BR"/>
              </w:rPr>
              <w:t>5,1</w:t>
            </w:r>
          </w:p>
        </w:tc>
      </w:tr>
      <w:tr w14:paraId="7750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847" w:type="dxa"/>
            <w:tcBorders>
              <w:top w:val="nil"/>
              <w:left w:val="nil"/>
              <w:bottom w:val="nil"/>
              <w:right w:val="nil"/>
            </w:tcBorders>
          </w:tcPr>
          <w:p w14:paraId="782D3B54">
            <w:pPr>
              <w:spacing w:after="0" w:line="240" w:lineRule="auto"/>
            </w:pPr>
          </w:p>
        </w:tc>
        <w:tc>
          <w:tcPr>
            <w:tcW w:w="11143" w:type="dxa"/>
            <w:gridSpan w:val="7"/>
            <w:tcBorders>
              <w:top w:val="nil"/>
              <w:left w:val="nil"/>
              <w:bottom w:val="nil"/>
              <w:right w:val="nil"/>
            </w:tcBorders>
          </w:tcPr>
          <w:p w14:paraId="0D360FDA">
            <w:pPr>
              <w:spacing w:after="160" w:line="259" w:lineRule="auto"/>
            </w:pPr>
            <w:r>
              <w:t xml:space="preserve">    Fonte: INEP                                                                                                                                                                                                                                                                                                                                                                                                                                                                                                                                                                                                                                                                                                                                                                                                                                                                                                                                                                                                                                                                                                                                                                                                                                                                                                                                                                                                                                                                                                                                                                                                                                                                                                                                                                                                                                                                                                                                                                                                                                                                                                                                                                                                                                                                                                                                                                                                                                                                                                                                                                                                                                                                                                                                                                                                                                                                                                                                                                                                                                                                                                                                                                                                                                                                                                                                                                                                                                                                                                                                                                                                                                                                                                                                                                                                                                                                                                                                                                                                                                                                                                                                                                                                 </w:t>
            </w:r>
            <w:r>
              <w:t xml:space="preserve">                                                                                                                                                                                                                                                                                                                                                                                                                                                                                                                                                                                                                                                                                                                                                                                                                                                                                                                                                                                                                                                                                                                                                                                                                                                                                                                                                                                                                                                                                                                                                                                                                                                                                                                                                                                                                                                                                                                                                                                                                                                                                                                                                                                                                                                                                                                                                                                                                                                                                                                                                                                                                                                                                                                                                                                                                                                                                                                                                                                                                                                                                                                                                                                                                                                                                                                                                                                                                                                                                                                                                                                                                                                                                                                                                                                                                                                                                                                                                                                                                                                                                                                </w:t>
            </w:r>
          </w:p>
        </w:tc>
      </w:tr>
    </w:tbl>
    <w:p w14:paraId="01CE5255"/>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3"/>
        <w:gridCol w:w="20"/>
        <w:gridCol w:w="6523"/>
      </w:tblGrid>
      <w:tr w14:paraId="7F9B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6EA97E6E">
            <w:pPr>
              <w:pStyle w:val="16"/>
              <w:numPr>
                <w:ilvl w:val="0"/>
                <w:numId w:val="0"/>
              </w:numPr>
              <w:jc w:val="center"/>
              <w:rPr>
                <w:rFonts w:hint="default"/>
                <w:b/>
                <w:vertAlign w:val="baseline"/>
                <w:lang w:val="pt-BR"/>
              </w:rPr>
            </w:pPr>
            <w:r>
              <w:rPr>
                <w:rFonts w:hint="default"/>
                <w:b/>
                <w:vertAlign w:val="baseline"/>
                <w:lang w:val="pt-BR"/>
              </w:rPr>
              <w:t>Ficha metodológica para o indicador 7B</w:t>
            </w:r>
            <w:r>
              <w:rPr>
                <w:rFonts w:hint="default"/>
                <w:b/>
                <w:bCs w:val="0"/>
                <w:vertAlign w:val="baseline"/>
                <w:lang w:val="pt-BR"/>
              </w:rPr>
              <w:t xml:space="preserve"> </w:t>
            </w:r>
            <w:r>
              <w:rPr>
                <w:rFonts w:hint="default"/>
                <w:b/>
                <w:vertAlign w:val="baseline"/>
                <w:lang w:val="pt-BR"/>
              </w:rPr>
              <w:t>- base PNE</w:t>
            </w:r>
          </w:p>
        </w:tc>
      </w:tr>
      <w:tr w14:paraId="7ABE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93" w:type="dxa"/>
            <w:tcBorders>
              <w:top w:val="outset" w:color="auto" w:sz="6" w:space="0"/>
              <w:left w:val="outset" w:color="auto" w:sz="6" w:space="0"/>
              <w:bottom w:val="outset" w:color="auto" w:sz="6" w:space="0"/>
              <w:right w:val="outset" w:color="auto" w:sz="6" w:space="0"/>
            </w:tcBorders>
          </w:tcPr>
          <w:p w14:paraId="059AE42C">
            <w:pPr>
              <w:spacing w:after="160" w:line="259" w:lineRule="auto"/>
              <w:rPr>
                <w:b/>
              </w:rPr>
            </w:pPr>
            <w:r>
              <w:rPr>
                <w:b/>
              </w:rPr>
              <w:t>Meta</w:t>
            </w:r>
          </w:p>
        </w:tc>
        <w:tc>
          <w:tcPr>
            <w:tcW w:w="6543" w:type="dxa"/>
            <w:gridSpan w:val="2"/>
            <w:tcBorders>
              <w:top w:val="outset" w:color="auto" w:sz="6" w:space="0"/>
              <w:left w:val="outset" w:color="auto" w:sz="6" w:space="0"/>
              <w:bottom w:val="outset" w:color="auto" w:sz="6" w:space="0"/>
              <w:right w:val="outset" w:color="auto" w:sz="6" w:space="0"/>
            </w:tcBorders>
          </w:tcPr>
          <w:p w14:paraId="36B4DB5F">
            <w:pPr>
              <w:spacing w:after="160" w:line="259" w:lineRule="auto"/>
              <w:rPr>
                <w:b/>
              </w:rPr>
            </w:pPr>
            <w:r>
              <w:rPr>
                <w:b/>
              </w:rPr>
              <w:t>Texto da meta</w:t>
            </w:r>
          </w:p>
        </w:tc>
      </w:tr>
      <w:tr w14:paraId="287B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93" w:type="dxa"/>
            <w:tcBorders>
              <w:top w:val="nil"/>
              <w:left w:val="outset" w:color="auto" w:sz="6" w:space="0"/>
              <w:bottom w:val="outset" w:color="auto" w:sz="6" w:space="0"/>
              <w:right w:val="outset" w:color="auto" w:sz="6" w:space="0"/>
            </w:tcBorders>
          </w:tcPr>
          <w:p w14:paraId="1DCBD09E">
            <w:pPr>
              <w:spacing w:after="160" w:line="259" w:lineRule="auto"/>
            </w:pPr>
            <w:r>
              <w:t>7</w:t>
            </w:r>
          </w:p>
          <w:p w14:paraId="7C09961E">
            <w:pPr>
              <w:spacing w:after="160" w:line="259" w:lineRule="auto"/>
            </w:pPr>
          </w:p>
          <w:p w14:paraId="28868853">
            <w:pPr>
              <w:spacing w:after="160" w:line="259" w:lineRule="auto"/>
            </w:pPr>
          </w:p>
          <w:p w14:paraId="5FE56B27">
            <w:pPr>
              <w:spacing w:after="160" w:line="259" w:lineRule="auto"/>
            </w:pPr>
          </w:p>
        </w:tc>
        <w:tc>
          <w:tcPr>
            <w:tcW w:w="6543" w:type="dxa"/>
            <w:gridSpan w:val="2"/>
            <w:tcBorders>
              <w:top w:val="nil"/>
              <w:left w:val="outset" w:color="auto" w:sz="6" w:space="0"/>
              <w:bottom w:val="outset" w:color="auto" w:sz="6" w:space="0"/>
              <w:right w:val="outset" w:color="auto" w:sz="6" w:space="0"/>
            </w:tcBorders>
          </w:tcPr>
          <w:p w14:paraId="759FB842">
            <w:pPr>
              <w:spacing w:after="160" w:line="259" w:lineRule="auto"/>
              <w:jc w:val="both"/>
            </w:pPr>
            <w:r>
              <w:t>Fomentar a qualidade da educação básica em todas as etapas e modalidades, com melhoria do fluxo escolar e da aprendizagem de modo a atingir as seguintes médias nacionais para o IDEB nos anos 2015, 2017, 2019 e 2021, com respeito aos anos iniciais do ensino fundamental, respectivamente: 5,2 - 5,5 - 5,7 - 6,0; aos anos finais do ensino fundamental: 4,7 - 5,0 - 5,2 - 5,5; e ao ensino médio: 4,3 - 4,7 - 5,0 - 5,2.</w:t>
            </w:r>
          </w:p>
        </w:tc>
      </w:tr>
      <w:tr w14:paraId="39EA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outset" w:color="auto" w:sz="6" w:space="0"/>
              <w:left w:val="outset" w:color="auto" w:sz="6" w:space="0"/>
              <w:bottom w:val="outset" w:color="auto" w:sz="6" w:space="0"/>
              <w:right w:val="outset" w:color="auto" w:sz="6" w:space="0"/>
            </w:tcBorders>
          </w:tcPr>
          <w:p w14:paraId="056D3C18">
            <w:pPr>
              <w:spacing w:after="160" w:line="259" w:lineRule="auto"/>
              <w:rPr>
                <w:rFonts w:hint="default"/>
                <w:lang w:val="pt-BR"/>
              </w:rPr>
            </w:pPr>
            <w:r>
              <w:rPr>
                <w:rFonts w:hint="default"/>
                <w:lang w:val="pt-BR"/>
              </w:rPr>
              <w:t>I</w:t>
            </w:r>
            <w:r>
              <w:t xml:space="preserve">ndicador </w:t>
            </w:r>
            <w:r>
              <w:rPr>
                <w:rFonts w:hint="default"/>
                <w:lang w:val="pt-BR"/>
              </w:rPr>
              <w:t>7C Nacional</w:t>
            </w:r>
          </w:p>
        </w:tc>
        <w:tc>
          <w:tcPr>
            <w:tcW w:w="6523" w:type="dxa"/>
            <w:tcBorders>
              <w:top w:val="outset" w:color="auto" w:sz="6" w:space="0"/>
              <w:left w:val="outset" w:color="auto" w:sz="6" w:space="0"/>
              <w:bottom w:val="outset" w:color="auto" w:sz="6" w:space="0"/>
              <w:right w:val="outset" w:color="auto" w:sz="6" w:space="0"/>
            </w:tcBorders>
          </w:tcPr>
          <w:p w14:paraId="1C0B866F">
            <w:pPr>
              <w:spacing w:after="160" w:line="259" w:lineRule="auto"/>
              <w:rPr>
                <w:rFonts w:hint="default"/>
                <w:lang w:val="pt-BR"/>
              </w:rPr>
            </w:pPr>
            <w:r>
              <w:t>Ideb do ensino médio</w:t>
            </w:r>
            <w:r>
              <w:rPr>
                <w:rFonts w:hint="default"/>
                <w:lang w:val="pt-BR"/>
              </w:rPr>
              <w:t>.</w:t>
            </w:r>
          </w:p>
        </w:tc>
      </w:tr>
      <w:tr w14:paraId="0BD1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outset" w:color="auto" w:sz="6" w:space="0"/>
              <w:left w:val="outset" w:color="auto" w:sz="6" w:space="0"/>
              <w:bottom w:val="outset" w:color="auto" w:sz="6" w:space="0"/>
              <w:right w:val="outset" w:color="auto" w:sz="6" w:space="0"/>
            </w:tcBorders>
          </w:tcPr>
          <w:p w14:paraId="6C63EEEA">
            <w:pPr>
              <w:spacing w:after="160" w:line="259" w:lineRule="auto"/>
              <w:rPr>
                <w:rFonts w:hint="default"/>
                <w:lang w:val="pt-BR"/>
              </w:rPr>
            </w:pPr>
            <w:r>
              <w:rPr>
                <w:rFonts w:hint="default"/>
                <w:lang w:val="pt-BR"/>
              </w:rPr>
              <w:t>Indicador 7C Proposto</w:t>
            </w:r>
          </w:p>
        </w:tc>
        <w:tc>
          <w:tcPr>
            <w:tcW w:w="6523" w:type="dxa"/>
            <w:tcBorders>
              <w:top w:val="outset" w:color="auto" w:sz="6" w:space="0"/>
              <w:left w:val="outset" w:color="auto" w:sz="6" w:space="0"/>
              <w:bottom w:val="outset" w:color="auto" w:sz="6" w:space="0"/>
              <w:right w:val="outset" w:color="auto" w:sz="6" w:space="0"/>
            </w:tcBorders>
          </w:tcPr>
          <w:p w14:paraId="2DE26649">
            <w:pPr>
              <w:spacing w:after="160" w:line="259" w:lineRule="auto"/>
              <w:rPr>
                <w:rFonts w:hint="default"/>
                <w:lang w:val="pt-BR"/>
              </w:rPr>
            </w:pPr>
            <w:r>
              <w:rPr>
                <w:rFonts w:hint="default"/>
                <w:lang w:val="pt-BR"/>
              </w:rPr>
              <w:t>Replicar Nacional.</w:t>
            </w:r>
          </w:p>
        </w:tc>
      </w:tr>
      <w:tr w14:paraId="6577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nil"/>
              <w:left w:val="outset" w:color="auto" w:sz="6" w:space="0"/>
              <w:bottom w:val="outset" w:color="auto" w:sz="6" w:space="0"/>
              <w:right w:val="outset" w:color="auto" w:sz="6" w:space="0"/>
            </w:tcBorders>
          </w:tcPr>
          <w:p w14:paraId="2F4EA064">
            <w:pPr>
              <w:spacing w:after="160" w:line="259" w:lineRule="auto"/>
            </w:pPr>
            <w:r>
              <w:t>Fórmula de cálculo</w:t>
            </w:r>
          </w:p>
        </w:tc>
        <w:tc>
          <w:tcPr>
            <w:tcW w:w="6523" w:type="dxa"/>
            <w:tcBorders>
              <w:top w:val="nil"/>
              <w:left w:val="outset" w:color="auto" w:sz="6" w:space="0"/>
              <w:bottom w:val="outset" w:color="auto" w:sz="6" w:space="0"/>
              <w:right w:val="outset" w:color="auto" w:sz="6" w:space="0"/>
            </w:tcBorders>
          </w:tcPr>
          <w:p w14:paraId="236094BE">
            <w:pPr>
              <w:spacing w:after="160" w:line="259" w:lineRule="auto"/>
            </w:pPr>
            <w:r>
              <w:t xml:space="preserve">Taxa média de aprovação do ensino médio x Proficiência média padronizada dos alunos da 3ª série do ensino médio na avaliação do Saeb </w:t>
            </w:r>
          </w:p>
        </w:tc>
      </w:tr>
      <w:tr w14:paraId="4E63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3" w:type="dxa"/>
            <w:gridSpan w:val="2"/>
            <w:tcBorders>
              <w:top w:val="nil"/>
              <w:left w:val="outset" w:color="auto" w:sz="6" w:space="0"/>
              <w:bottom w:val="outset" w:color="auto" w:sz="6" w:space="0"/>
              <w:right w:val="outset" w:color="auto" w:sz="6" w:space="0"/>
            </w:tcBorders>
          </w:tcPr>
          <w:p w14:paraId="3985B7F6">
            <w:pPr>
              <w:spacing w:after="160" w:line="259" w:lineRule="auto"/>
            </w:pPr>
            <w:r>
              <w:t>Comentários</w:t>
            </w:r>
          </w:p>
        </w:tc>
        <w:tc>
          <w:tcPr>
            <w:tcW w:w="6523" w:type="dxa"/>
            <w:tcBorders>
              <w:top w:val="nil"/>
              <w:left w:val="outset" w:color="auto" w:sz="6" w:space="0"/>
              <w:bottom w:val="outset" w:color="auto" w:sz="6" w:space="0"/>
              <w:right w:val="outset" w:color="auto" w:sz="6" w:space="0"/>
            </w:tcBorders>
          </w:tcPr>
          <w:p w14:paraId="6DEE5D86">
            <w:pPr>
              <w:spacing w:after="160" w:line="259" w:lineRule="auto"/>
            </w:pPr>
            <w:r>
              <w:t>Já calculado e disponibilizado pelo INEP. Disponível a partir de 2017.</w:t>
            </w:r>
          </w:p>
          <w:p w14:paraId="6E76F4AF">
            <w:pPr>
              <w:spacing w:after="160" w:line="259" w:lineRule="auto"/>
            </w:pPr>
          </w:p>
        </w:tc>
      </w:tr>
    </w:tbl>
    <w:p w14:paraId="668448C7">
      <w:r>
        <w:t xml:space="preserve"> </w:t>
      </w:r>
    </w:p>
    <w:p w14:paraId="0E87332F"/>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120"/>
        <w:gridCol w:w="1785"/>
        <w:gridCol w:w="1785"/>
        <w:gridCol w:w="1785"/>
        <w:gridCol w:w="2098"/>
      </w:tblGrid>
      <w:tr w14:paraId="637F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0" w:type="dxa"/>
            <w:gridSpan w:val="6"/>
          </w:tcPr>
          <w:p w14:paraId="7FE3F3D7">
            <w:pPr>
              <w:rPr>
                <w:rFonts w:hint="default"/>
                <w:b/>
                <w:bCs/>
                <w:vertAlign w:val="baseline"/>
                <w:lang w:val="pt-BR"/>
              </w:rPr>
            </w:pPr>
            <w:r>
              <w:rPr>
                <w:rFonts w:hint="default"/>
                <w:b/>
                <w:bCs/>
                <w:vertAlign w:val="baseline"/>
                <w:lang w:val="pt-BR"/>
              </w:rPr>
              <w:t>Dados/Indicadores: Indicador 7C</w:t>
            </w:r>
          </w:p>
        </w:tc>
      </w:tr>
      <w:tr w14:paraId="5EF2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967" w:type="dxa"/>
            <w:gridSpan w:val="2"/>
            <w:tcBorders>
              <w:top w:val="outset" w:color="auto" w:sz="6" w:space="0"/>
              <w:left w:val="outset" w:color="auto" w:sz="6" w:space="0"/>
              <w:bottom w:val="outset" w:color="auto" w:sz="6" w:space="0"/>
              <w:right w:val="outset" w:color="auto" w:sz="6" w:space="0"/>
            </w:tcBorders>
          </w:tcPr>
          <w:p w14:paraId="47058DBC">
            <w:pPr>
              <w:spacing w:after="160" w:line="259" w:lineRule="auto"/>
              <w:rPr>
                <w:rFonts w:hint="default"/>
                <w:lang w:val="pt-BR"/>
              </w:rPr>
            </w:pPr>
            <w:r>
              <w:rPr>
                <w:rFonts w:hint="default"/>
                <w:lang w:val="pt-BR"/>
              </w:rPr>
              <w:t xml:space="preserve">Ano </w:t>
            </w:r>
          </w:p>
        </w:tc>
        <w:tc>
          <w:tcPr>
            <w:tcW w:w="1785" w:type="dxa"/>
            <w:tcBorders>
              <w:top w:val="outset" w:color="auto" w:sz="6" w:space="0"/>
              <w:left w:val="outset" w:color="auto" w:sz="6" w:space="0"/>
              <w:bottom w:val="outset" w:color="auto" w:sz="6" w:space="0"/>
              <w:right w:val="outset" w:color="auto" w:sz="6" w:space="0"/>
            </w:tcBorders>
          </w:tcPr>
          <w:p w14:paraId="12A708A1">
            <w:pPr>
              <w:spacing w:after="160" w:line="259" w:lineRule="auto"/>
            </w:pPr>
            <w:r>
              <w:t>2017</w:t>
            </w:r>
          </w:p>
        </w:tc>
        <w:tc>
          <w:tcPr>
            <w:tcW w:w="1785" w:type="dxa"/>
            <w:tcBorders>
              <w:top w:val="outset" w:color="auto" w:sz="6" w:space="0"/>
              <w:left w:val="outset" w:color="auto" w:sz="6" w:space="0"/>
              <w:bottom w:val="outset" w:color="auto" w:sz="6" w:space="0"/>
              <w:right w:val="outset" w:color="auto" w:sz="6" w:space="0"/>
            </w:tcBorders>
          </w:tcPr>
          <w:p w14:paraId="04AE1CF9">
            <w:pPr>
              <w:spacing w:after="160" w:line="259" w:lineRule="auto"/>
            </w:pPr>
            <w:r>
              <w:t>2019</w:t>
            </w:r>
          </w:p>
        </w:tc>
        <w:tc>
          <w:tcPr>
            <w:tcW w:w="1785" w:type="dxa"/>
            <w:tcBorders>
              <w:top w:val="outset" w:color="auto" w:sz="6" w:space="0"/>
              <w:left w:val="outset" w:color="auto" w:sz="6" w:space="0"/>
              <w:bottom w:val="outset" w:color="auto" w:sz="6" w:space="0"/>
              <w:right w:val="outset" w:color="auto" w:sz="6" w:space="0"/>
            </w:tcBorders>
          </w:tcPr>
          <w:p w14:paraId="715032FB">
            <w:pPr>
              <w:spacing w:after="160" w:line="259" w:lineRule="auto"/>
            </w:pPr>
            <w:r>
              <w:t>2021</w:t>
            </w:r>
          </w:p>
        </w:tc>
        <w:tc>
          <w:tcPr>
            <w:tcW w:w="2098" w:type="dxa"/>
            <w:tcBorders>
              <w:top w:val="outset" w:color="auto" w:sz="6" w:space="0"/>
              <w:left w:val="outset" w:color="auto" w:sz="6" w:space="0"/>
              <w:bottom w:val="outset" w:color="auto" w:sz="6" w:space="0"/>
              <w:right w:val="outset" w:color="auto" w:sz="6" w:space="0"/>
            </w:tcBorders>
          </w:tcPr>
          <w:p w14:paraId="4B52ED62">
            <w:pPr>
              <w:spacing w:after="0" w:line="240" w:lineRule="auto"/>
            </w:pPr>
            <w:r>
              <w:t>2023</w:t>
            </w:r>
          </w:p>
        </w:tc>
      </w:tr>
      <w:tr w14:paraId="6D6A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967" w:type="dxa"/>
            <w:gridSpan w:val="2"/>
            <w:tcBorders>
              <w:top w:val="nil"/>
              <w:left w:val="outset" w:color="auto" w:sz="6" w:space="0"/>
              <w:bottom w:val="outset" w:color="auto" w:sz="6" w:space="0"/>
              <w:right w:val="outset" w:color="auto" w:sz="6" w:space="0"/>
            </w:tcBorders>
          </w:tcPr>
          <w:p w14:paraId="5FEC8613">
            <w:pPr>
              <w:spacing w:after="160" w:line="259" w:lineRule="auto"/>
            </w:pPr>
            <w:r>
              <w:t>Indicador 1</w:t>
            </w:r>
          </w:p>
        </w:tc>
        <w:tc>
          <w:tcPr>
            <w:tcW w:w="1785" w:type="dxa"/>
            <w:tcBorders>
              <w:top w:val="nil"/>
              <w:left w:val="outset" w:color="auto" w:sz="6" w:space="0"/>
              <w:bottom w:val="outset" w:color="auto" w:sz="6" w:space="0"/>
              <w:right w:val="outset" w:color="auto" w:sz="6" w:space="0"/>
            </w:tcBorders>
          </w:tcPr>
          <w:p w14:paraId="78C5D649">
            <w:pPr>
              <w:spacing w:after="160" w:line="259" w:lineRule="auto"/>
              <w:rPr>
                <w:rFonts w:hint="default"/>
                <w:lang w:val="pt-BR"/>
              </w:rPr>
            </w:pPr>
            <w:r>
              <w:rPr>
                <w:rFonts w:hint="default"/>
                <w:lang w:val="pt-BR"/>
              </w:rPr>
              <w:t>3,4</w:t>
            </w:r>
          </w:p>
        </w:tc>
        <w:tc>
          <w:tcPr>
            <w:tcW w:w="1785" w:type="dxa"/>
            <w:tcBorders>
              <w:top w:val="nil"/>
              <w:left w:val="outset" w:color="auto" w:sz="6" w:space="0"/>
              <w:bottom w:val="outset" w:color="auto" w:sz="6" w:space="0"/>
              <w:right w:val="outset" w:color="auto" w:sz="6" w:space="0"/>
            </w:tcBorders>
          </w:tcPr>
          <w:p w14:paraId="66C56CDB">
            <w:pPr>
              <w:spacing w:after="160" w:line="259" w:lineRule="auto"/>
              <w:rPr>
                <w:rFonts w:hint="default"/>
                <w:lang w:val="pt-BR"/>
              </w:rPr>
            </w:pPr>
            <w:r>
              <w:rPr>
                <w:rFonts w:hint="default"/>
                <w:lang w:val="pt-BR"/>
              </w:rPr>
              <w:t>4,2</w:t>
            </w:r>
          </w:p>
        </w:tc>
        <w:tc>
          <w:tcPr>
            <w:tcW w:w="1785" w:type="dxa"/>
            <w:tcBorders>
              <w:top w:val="nil"/>
              <w:left w:val="outset" w:color="auto" w:sz="6" w:space="0"/>
              <w:bottom w:val="outset" w:color="auto" w:sz="6" w:space="0"/>
              <w:right w:val="outset" w:color="auto" w:sz="6" w:space="0"/>
            </w:tcBorders>
          </w:tcPr>
          <w:p w14:paraId="43D80870">
            <w:pPr>
              <w:spacing w:after="160" w:line="259" w:lineRule="auto"/>
              <w:rPr>
                <w:rFonts w:hint="default"/>
                <w:lang w:val="pt-BR"/>
              </w:rPr>
            </w:pPr>
            <w:r>
              <w:rPr>
                <w:rFonts w:hint="default"/>
                <w:lang w:val="pt-BR"/>
              </w:rPr>
              <w:t>4,4</w:t>
            </w:r>
          </w:p>
        </w:tc>
        <w:tc>
          <w:tcPr>
            <w:tcW w:w="2098" w:type="dxa"/>
            <w:tcBorders>
              <w:top w:val="nil"/>
              <w:left w:val="outset" w:color="auto" w:sz="6" w:space="0"/>
              <w:bottom w:val="outset" w:color="auto" w:sz="6" w:space="0"/>
              <w:right w:val="outset" w:color="auto" w:sz="6" w:space="0"/>
            </w:tcBorders>
          </w:tcPr>
          <w:p w14:paraId="7CB04087">
            <w:pPr>
              <w:spacing w:after="0" w:line="240" w:lineRule="auto"/>
              <w:rPr>
                <w:rFonts w:hint="default"/>
                <w:lang w:val="pt-BR"/>
              </w:rPr>
            </w:pPr>
            <w:r>
              <w:rPr>
                <w:rFonts w:hint="default"/>
                <w:lang w:val="pt-BR"/>
              </w:rPr>
              <w:t>4,2</w:t>
            </w:r>
          </w:p>
        </w:tc>
      </w:tr>
      <w:tr w14:paraId="4221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5"/>
          <w:wAfter w:w="7573" w:type="dxa"/>
          <w:jc w:val="center"/>
        </w:trPr>
        <w:tc>
          <w:tcPr>
            <w:tcW w:w="1847" w:type="dxa"/>
            <w:tcBorders>
              <w:top w:val="nil"/>
              <w:left w:val="nil"/>
              <w:bottom w:val="nil"/>
              <w:right w:val="nil"/>
            </w:tcBorders>
          </w:tcPr>
          <w:p w14:paraId="1B3EB2E7">
            <w:pPr>
              <w:spacing w:after="0" w:line="240" w:lineRule="auto"/>
              <w:rPr>
                <w:rFonts w:hint="default"/>
                <w:lang w:val="pt-BR"/>
              </w:rPr>
            </w:pPr>
            <w:r>
              <w:rPr>
                <w:rFonts w:hint="default"/>
                <w:lang w:val="pt-BR"/>
              </w:rPr>
              <w:t>Fonte: INEP</w:t>
            </w:r>
          </w:p>
        </w:tc>
      </w:tr>
    </w:tbl>
    <w:p w14:paraId="3C956015"/>
    <w:p w14:paraId="18ADE6F9">
      <w:pPr>
        <w:spacing w:line="360" w:lineRule="auto"/>
        <w:ind w:firstLine="708" w:firstLineChars="0"/>
        <w:jc w:val="both"/>
      </w:pPr>
      <w:r>
        <w:t>Através dos indicadores, nota-se, que a Educação no Ensino Fundamental Anos Iniciais está atingindo a meta conforme o proposto no plano, já, a educação no Ensino Fundamental Anos Finais e Ensino Médio necessitam melhorias para elevação do nível de aprendizagem dos alunos/ Nota do Ideb.</w:t>
      </w:r>
    </w:p>
    <w:p w14:paraId="3BB62AE8">
      <w:pPr>
        <w:spacing w:line="360" w:lineRule="auto"/>
        <w:ind w:firstLine="708" w:firstLineChars="0"/>
        <w:jc w:val="both"/>
      </w:pP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12"/>
        <w:gridCol w:w="6520"/>
      </w:tblGrid>
      <w:tr w14:paraId="7158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00DF2461">
            <w:pPr>
              <w:pStyle w:val="16"/>
              <w:numPr>
                <w:ilvl w:val="0"/>
                <w:numId w:val="0"/>
              </w:numPr>
              <w:jc w:val="center"/>
              <w:rPr>
                <w:rFonts w:hint="default"/>
                <w:b/>
                <w:vertAlign w:val="baseline"/>
                <w:lang w:val="pt-BR"/>
              </w:rPr>
            </w:pPr>
            <w:r>
              <w:rPr>
                <w:rFonts w:hint="default"/>
                <w:b/>
                <w:vertAlign w:val="baseline"/>
                <w:lang w:val="pt-BR"/>
              </w:rPr>
              <w:t>Ficha metodológica para o indicador 8A</w:t>
            </w:r>
            <w:r>
              <w:rPr>
                <w:rFonts w:hint="default"/>
                <w:b/>
                <w:bCs w:val="0"/>
                <w:vertAlign w:val="baseline"/>
                <w:lang w:val="pt-BR"/>
              </w:rPr>
              <w:t xml:space="preserve"> </w:t>
            </w:r>
            <w:r>
              <w:rPr>
                <w:rFonts w:hint="default"/>
                <w:b/>
                <w:vertAlign w:val="baseline"/>
                <w:lang w:val="pt-BR"/>
              </w:rPr>
              <w:t>- base PNE</w:t>
            </w:r>
          </w:p>
        </w:tc>
      </w:tr>
      <w:tr w14:paraId="70D5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4" w:type="dxa"/>
            <w:tcBorders>
              <w:top w:val="outset" w:color="auto" w:sz="6" w:space="0"/>
              <w:left w:val="outset" w:color="auto" w:sz="6" w:space="0"/>
              <w:bottom w:val="outset" w:color="auto" w:sz="6" w:space="0"/>
              <w:right w:val="outset" w:color="auto" w:sz="6" w:space="0"/>
            </w:tcBorders>
          </w:tcPr>
          <w:p w14:paraId="5DC7A096">
            <w:pPr>
              <w:rPr>
                <w:b/>
              </w:rPr>
            </w:pPr>
            <w:r>
              <w:t xml:space="preserve"> </w:t>
            </w: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19546926">
            <w:pPr>
              <w:spacing w:after="160" w:line="259" w:lineRule="auto"/>
              <w:rPr>
                <w:b/>
              </w:rPr>
            </w:pPr>
            <w:r>
              <w:rPr>
                <w:b/>
              </w:rPr>
              <w:t>Texto da meta</w:t>
            </w:r>
          </w:p>
        </w:tc>
      </w:tr>
      <w:tr w14:paraId="712A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4" w:type="dxa"/>
            <w:tcBorders>
              <w:top w:val="nil"/>
              <w:left w:val="outset" w:color="auto" w:sz="6" w:space="0"/>
              <w:bottom w:val="outset" w:color="auto" w:sz="6" w:space="0"/>
              <w:right w:val="outset" w:color="auto" w:sz="6" w:space="0"/>
            </w:tcBorders>
          </w:tcPr>
          <w:p w14:paraId="14C7B298">
            <w:pPr>
              <w:spacing w:after="160" w:line="259" w:lineRule="auto"/>
            </w:pPr>
            <w:r>
              <w:t>8</w:t>
            </w:r>
          </w:p>
          <w:p w14:paraId="39FD5E99">
            <w:pPr>
              <w:spacing w:after="160" w:line="259" w:lineRule="auto"/>
            </w:pPr>
          </w:p>
          <w:p w14:paraId="248294FB">
            <w:pPr>
              <w:spacing w:after="160" w:line="259" w:lineRule="auto"/>
            </w:pPr>
          </w:p>
        </w:tc>
        <w:tc>
          <w:tcPr>
            <w:tcW w:w="6532" w:type="dxa"/>
            <w:gridSpan w:val="2"/>
            <w:tcBorders>
              <w:top w:val="nil"/>
              <w:left w:val="outset" w:color="auto" w:sz="6" w:space="0"/>
              <w:bottom w:val="outset" w:color="auto" w:sz="6" w:space="0"/>
              <w:right w:val="outset" w:color="auto" w:sz="6" w:space="0"/>
            </w:tcBorders>
          </w:tcPr>
          <w:p w14:paraId="66E00A9E">
            <w:pPr>
              <w:spacing w:after="160" w:line="259" w:lineRule="auto"/>
              <w:jc w:val="both"/>
            </w:pPr>
            <w:r>
              <w:t>Elevar a escolaridade média da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negros e não negros declarados à Fundação Instituto Brasileiro de Geografia e Estatística - IBGE.</w:t>
            </w:r>
          </w:p>
        </w:tc>
      </w:tr>
      <w:tr w14:paraId="012B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6" w:type="dxa"/>
            <w:gridSpan w:val="2"/>
            <w:tcBorders>
              <w:top w:val="outset" w:color="auto" w:sz="6" w:space="0"/>
              <w:left w:val="outset" w:color="auto" w:sz="6" w:space="0"/>
              <w:bottom w:val="outset" w:color="auto" w:sz="6" w:space="0"/>
              <w:right w:val="outset" w:color="auto" w:sz="6" w:space="0"/>
            </w:tcBorders>
          </w:tcPr>
          <w:p w14:paraId="1AD6CCFD">
            <w:pPr>
              <w:rPr>
                <w:rFonts w:hint="default"/>
                <w:b/>
                <w:lang w:val="pt-BR"/>
              </w:rPr>
            </w:pPr>
            <w:r>
              <w:rPr>
                <w:rFonts w:hint="default"/>
                <w:b w:val="0"/>
                <w:bCs/>
                <w:lang w:val="pt-BR"/>
              </w:rPr>
              <w:t>Indicador 8A Nacional</w:t>
            </w:r>
          </w:p>
        </w:tc>
        <w:tc>
          <w:tcPr>
            <w:tcW w:w="6520" w:type="dxa"/>
            <w:tcBorders>
              <w:top w:val="outset" w:color="auto" w:sz="6" w:space="0"/>
              <w:left w:val="outset" w:color="auto" w:sz="6" w:space="0"/>
              <w:bottom w:val="outset" w:color="auto" w:sz="6" w:space="0"/>
              <w:right w:val="outset" w:color="auto" w:sz="6" w:space="0"/>
            </w:tcBorders>
          </w:tcPr>
          <w:p w14:paraId="020AD82B">
            <w:pPr>
              <w:spacing w:after="160" w:line="259" w:lineRule="auto"/>
              <w:rPr>
                <w:rFonts w:hint="default"/>
                <w:lang w:val="pt-BR"/>
              </w:rPr>
            </w:pPr>
            <w:r>
              <w:rPr>
                <w:rFonts w:hint="default"/>
                <w:lang w:val="pt-BR"/>
              </w:rPr>
              <w:t>Escolaridade média, em anos de estudo, da população de 18 a 29 anos de idade.</w:t>
            </w:r>
          </w:p>
        </w:tc>
      </w:tr>
      <w:tr w14:paraId="38C8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6" w:type="dxa"/>
            <w:gridSpan w:val="2"/>
            <w:tcBorders>
              <w:top w:val="outset" w:color="auto" w:sz="6" w:space="0"/>
              <w:left w:val="outset" w:color="auto" w:sz="6" w:space="0"/>
              <w:bottom w:val="outset" w:color="auto" w:sz="6" w:space="0"/>
              <w:right w:val="outset" w:color="auto" w:sz="6" w:space="0"/>
            </w:tcBorders>
          </w:tcPr>
          <w:p w14:paraId="06F26FDC">
            <w:pPr>
              <w:rPr>
                <w:rFonts w:hint="default"/>
                <w:lang w:val="pt-BR"/>
              </w:rPr>
            </w:pPr>
            <w:r>
              <w:rPr>
                <w:b/>
              </w:rPr>
              <w:t xml:space="preserve"> </w:t>
            </w:r>
            <w:r>
              <w:t xml:space="preserve">Indicador </w:t>
            </w:r>
            <w:r>
              <w:rPr>
                <w:rFonts w:hint="default"/>
                <w:lang w:val="pt-BR"/>
              </w:rPr>
              <w:t>8A Proposto</w:t>
            </w:r>
          </w:p>
        </w:tc>
        <w:tc>
          <w:tcPr>
            <w:tcW w:w="6520" w:type="dxa"/>
            <w:tcBorders>
              <w:top w:val="outset" w:color="auto" w:sz="6" w:space="0"/>
              <w:left w:val="outset" w:color="auto" w:sz="6" w:space="0"/>
              <w:bottom w:val="outset" w:color="auto" w:sz="6" w:space="0"/>
              <w:right w:val="outset" w:color="auto" w:sz="6" w:space="0"/>
            </w:tcBorders>
          </w:tcPr>
          <w:p w14:paraId="74BC5C69">
            <w:pPr>
              <w:spacing w:after="160" w:line="259" w:lineRule="auto"/>
            </w:pPr>
            <w:r>
              <w:t>Nenhum</w:t>
            </w:r>
          </w:p>
        </w:tc>
      </w:tr>
      <w:tr w14:paraId="198D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6" w:type="dxa"/>
            <w:gridSpan w:val="2"/>
            <w:tcBorders>
              <w:top w:val="nil"/>
              <w:left w:val="outset" w:color="auto" w:sz="6" w:space="0"/>
              <w:bottom w:val="outset" w:color="auto" w:sz="6" w:space="0"/>
              <w:right w:val="outset" w:color="auto" w:sz="6" w:space="0"/>
            </w:tcBorders>
          </w:tcPr>
          <w:p w14:paraId="488237D1">
            <w:pPr>
              <w:spacing w:after="160" w:line="259" w:lineRule="auto"/>
            </w:pPr>
            <w:r>
              <w:t>Fórmula de cálculo</w:t>
            </w:r>
          </w:p>
        </w:tc>
        <w:tc>
          <w:tcPr>
            <w:tcW w:w="6520"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6490"/>
            </w:tblGrid>
            <w:tr w14:paraId="640AD28F">
              <w:tblPrEx>
                <w:tblCellMar>
                  <w:top w:w="15" w:type="dxa"/>
                  <w:left w:w="15" w:type="dxa"/>
                  <w:bottom w:w="15" w:type="dxa"/>
                  <w:right w:w="15" w:type="dxa"/>
                </w:tblCellMar>
              </w:tblPrEx>
              <w:tc>
                <w:tcPr>
                  <w:tcW w:w="0" w:type="auto"/>
                  <w:tcBorders>
                    <w:top w:val="nil"/>
                    <w:left w:val="nil"/>
                    <w:bottom w:val="nil"/>
                    <w:right w:val="nil"/>
                  </w:tcBorders>
                </w:tcPr>
                <w:p w14:paraId="5924C2F0">
                  <w:pPr>
                    <w:jc w:val="both"/>
                    <w:rPr>
                      <w:rFonts w:hint="default"/>
                      <w:lang w:val="pt-BR"/>
                    </w:rPr>
                  </w:pPr>
                  <w:r>
                    <w:t>Soma dos anos de estudo das pessoas na faixa etária de 18 a 29 anos de idade / Total da população de 18 a 29 anos de idade</w:t>
                  </w:r>
                  <w:r>
                    <w:rPr>
                      <w:rFonts w:hint="default"/>
                      <w:lang w:val="pt-BR"/>
                    </w:rPr>
                    <w:t>.</w:t>
                  </w:r>
                </w:p>
              </w:tc>
            </w:tr>
          </w:tbl>
          <w:p w14:paraId="2012EF79">
            <w:pPr>
              <w:spacing w:after="160" w:line="259" w:lineRule="auto"/>
              <w:jc w:val="both"/>
            </w:pPr>
          </w:p>
        </w:tc>
      </w:tr>
      <w:tr w14:paraId="74CF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6" w:type="dxa"/>
            <w:gridSpan w:val="2"/>
            <w:tcBorders>
              <w:top w:val="nil"/>
              <w:left w:val="outset" w:color="auto" w:sz="6" w:space="0"/>
              <w:bottom w:val="outset" w:color="auto" w:sz="6" w:space="0"/>
              <w:right w:val="outset" w:color="auto" w:sz="6" w:space="0"/>
            </w:tcBorders>
          </w:tcPr>
          <w:p w14:paraId="25DB929B">
            <w:pPr>
              <w:spacing w:after="160" w:line="259" w:lineRule="auto"/>
            </w:pPr>
            <w:r>
              <w:t>Justificativa</w:t>
            </w:r>
          </w:p>
        </w:tc>
        <w:tc>
          <w:tcPr>
            <w:tcW w:w="6520"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6490"/>
            </w:tblGrid>
            <w:tr w14:paraId="27784724">
              <w:tc>
                <w:tcPr>
                  <w:tcW w:w="0" w:type="auto"/>
                  <w:tcBorders>
                    <w:top w:val="nil"/>
                    <w:left w:val="nil"/>
                    <w:bottom w:val="nil"/>
                    <w:right w:val="nil"/>
                  </w:tcBorders>
                </w:tcPr>
                <w:p w14:paraId="54A54C77">
                  <w:pPr>
                    <w:jc w:val="both"/>
                  </w:pPr>
                  <w:r>
                    <w:t>Inviável. Não existe dado público municipal e anual que informe anos de estudos de todas as pessoas na faixa etária selecionada. Informação disponível somente para anos censitários.</w:t>
                  </w:r>
                </w:p>
              </w:tc>
            </w:tr>
          </w:tbl>
          <w:p w14:paraId="50A835C8">
            <w:pPr>
              <w:spacing w:after="160" w:line="259" w:lineRule="auto"/>
              <w:jc w:val="both"/>
            </w:pPr>
          </w:p>
        </w:tc>
      </w:tr>
    </w:tbl>
    <w:p w14:paraId="7B920E19">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12"/>
        <w:gridCol w:w="6520"/>
      </w:tblGrid>
      <w:tr w14:paraId="35AE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369D16F3">
            <w:pPr>
              <w:pStyle w:val="16"/>
              <w:numPr>
                <w:ilvl w:val="0"/>
                <w:numId w:val="0"/>
              </w:numPr>
              <w:jc w:val="center"/>
              <w:rPr>
                <w:rFonts w:hint="default"/>
                <w:b/>
                <w:vertAlign w:val="baseline"/>
                <w:lang w:val="pt-BR"/>
              </w:rPr>
            </w:pPr>
            <w:r>
              <w:rPr>
                <w:rFonts w:hint="default"/>
                <w:b/>
                <w:vertAlign w:val="baseline"/>
                <w:lang w:val="pt-BR"/>
              </w:rPr>
              <w:t>Ficha metodológica para o indicador 8B</w:t>
            </w:r>
            <w:r>
              <w:rPr>
                <w:rFonts w:hint="default"/>
                <w:b/>
                <w:bCs w:val="0"/>
                <w:vertAlign w:val="baseline"/>
                <w:lang w:val="pt-BR"/>
              </w:rPr>
              <w:t xml:space="preserve"> </w:t>
            </w:r>
            <w:r>
              <w:rPr>
                <w:rFonts w:hint="default"/>
                <w:b/>
                <w:vertAlign w:val="baseline"/>
                <w:lang w:val="pt-BR"/>
              </w:rPr>
              <w:t>- base PNE</w:t>
            </w:r>
          </w:p>
        </w:tc>
      </w:tr>
      <w:tr w14:paraId="61A7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4" w:type="dxa"/>
            <w:tcBorders>
              <w:top w:val="outset" w:color="auto" w:sz="6" w:space="0"/>
              <w:left w:val="outset" w:color="auto" w:sz="6" w:space="0"/>
              <w:bottom w:val="outset" w:color="auto" w:sz="6" w:space="0"/>
              <w:right w:val="outset" w:color="auto" w:sz="6" w:space="0"/>
            </w:tcBorders>
          </w:tcPr>
          <w:p w14:paraId="7D816CD5">
            <w:pPr>
              <w:rPr>
                <w:b/>
              </w:rPr>
            </w:pPr>
            <w:r>
              <w:t xml:space="preserve"> </w:t>
            </w: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163473FD">
            <w:pPr>
              <w:spacing w:after="160" w:line="259" w:lineRule="auto"/>
              <w:rPr>
                <w:b/>
              </w:rPr>
            </w:pPr>
            <w:r>
              <w:rPr>
                <w:b/>
              </w:rPr>
              <w:t>Texto da meta</w:t>
            </w:r>
          </w:p>
        </w:tc>
      </w:tr>
      <w:tr w14:paraId="64A2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4" w:type="dxa"/>
            <w:tcBorders>
              <w:top w:val="nil"/>
              <w:left w:val="outset" w:color="auto" w:sz="6" w:space="0"/>
              <w:bottom w:val="outset" w:color="auto" w:sz="6" w:space="0"/>
              <w:right w:val="outset" w:color="auto" w:sz="6" w:space="0"/>
            </w:tcBorders>
          </w:tcPr>
          <w:p w14:paraId="758060E4">
            <w:pPr>
              <w:spacing w:after="160" w:line="259" w:lineRule="auto"/>
            </w:pPr>
            <w:r>
              <w:t>8</w:t>
            </w:r>
          </w:p>
          <w:p w14:paraId="420EE399">
            <w:pPr>
              <w:spacing w:after="160" w:line="259" w:lineRule="auto"/>
            </w:pPr>
          </w:p>
          <w:p w14:paraId="5F7554A5">
            <w:pPr>
              <w:spacing w:after="160" w:line="259" w:lineRule="auto"/>
            </w:pPr>
          </w:p>
        </w:tc>
        <w:tc>
          <w:tcPr>
            <w:tcW w:w="6532" w:type="dxa"/>
            <w:gridSpan w:val="2"/>
            <w:tcBorders>
              <w:top w:val="nil"/>
              <w:left w:val="outset" w:color="auto" w:sz="6" w:space="0"/>
              <w:bottom w:val="outset" w:color="auto" w:sz="6" w:space="0"/>
              <w:right w:val="outset" w:color="auto" w:sz="6" w:space="0"/>
            </w:tcBorders>
          </w:tcPr>
          <w:p w14:paraId="799599FB">
            <w:pPr>
              <w:spacing w:after="160" w:line="259" w:lineRule="auto"/>
              <w:jc w:val="both"/>
            </w:pPr>
            <w:r>
              <w:t>Elevar a escolaridade média da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negros e não negros declarados à Fundação Instituto Brasileiro de Geografia e Estatística - IBGE.</w:t>
            </w:r>
          </w:p>
        </w:tc>
      </w:tr>
      <w:tr w14:paraId="58D1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6" w:type="dxa"/>
            <w:gridSpan w:val="2"/>
            <w:tcBorders>
              <w:top w:val="outset" w:color="auto" w:sz="6" w:space="0"/>
              <w:left w:val="outset" w:color="auto" w:sz="6" w:space="0"/>
              <w:bottom w:val="outset" w:color="auto" w:sz="6" w:space="0"/>
              <w:right w:val="outset" w:color="auto" w:sz="6" w:space="0"/>
            </w:tcBorders>
          </w:tcPr>
          <w:p w14:paraId="1B285308">
            <w:pPr>
              <w:spacing w:after="160" w:line="259" w:lineRule="auto"/>
              <w:jc w:val="both"/>
              <w:rPr>
                <w:rFonts w:hint="default"/>
                <w:lang w:val="pt-BR"/>
              </w:rPr>
            </w:pPr>
            <w:r>
              <w:rPr>
                <w:rFonts w:hint="default"/>
                <w:lang w:val="pt-BR"/>
              </w:rPr>
              <w:t>Indicador 8B Nacional</w:t>
            </w:r>
          </w:p>
        </w:tc>
        <w:tc>
          <w:tcPr>
            <w:tcW w:w="6520" w:type="dxa"/>
            <w:tcBorders>
              <w:top w:val="outset" w:color="auto" w:sz="6" w:space="0"/>
              <w:left w:val="outset" w:color="auto" w:sz="6" w:space="0"/>
              <w:bottom w:val="outset" w:color="auto" w:sz="6" w:space="0"/>
              <w:right w:val="outset" w:color="auto" w:sz="6" w:space="0"/>
            </w:tcBorders>
          </w:tcPr>
          <w:p w14:paraId="5C0C86BC">
            <w:pPr>
              <w:spacing w:after="160" w:line="259" w:lineRule="auto"/>
              <w:jc w:val="both"/>
              <w:rPr>
                <w:rFonts w:hint="default"/>
                <w:lang w:val="pt-BR"/>
              </w:rPr>
            </w:pPr>
            <w:r>
              <w:rPr>
                <w:rFonts w:hint="default"/>
                <w:lang w:val="pt-BR"/>
              </w:rPr>
              <w:t>Escolaridade média, em anos de estudo, da população de 18 a 29 anos de idade residentes em área rural.</w:t>
            </w:r>
          </w:p>
        </w:tc>
      </w:tr>
      <w:tr w14:paraId="4795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6" w:type="dxa"/>
            <w:gridSpan w:val="2"/>
            <w:tcBorders>
              <w:top w:val="outset" w:color="auto" w:sz="6" w:space="0"/>
              <w:left w:val="outset" w:color="auto" w:sz="6" w:space="0"/>
              <w:bottom w:val="outset" w:color="auto" w:sz="6" w:space="0"/>
              <w:right w:val="outset" w:color="auto" w:sz="6" w:space="0"/>
            </w:tcBorders>
          </w:tcPr>
          <w:p w14:paraId="4DD48DF6">
            <w:pPr>
              <w:spacing w:after="160" w:line="259" w:lineRule="auto"/>
              <w:jc w:val="both"/>
              <w:rPr>
                <w:rFonts w:hint="default"/>
                <w:lang w:val="pt-BR"/>
              </w:rPr>
            </w:pPr>
            <w:r>
              <w:t xml:space="preserve">Indicador </w:t>
            </w:r>
            <w:r>
              <w:rPr>
                <w:rFonts w:hint="default"/>
                <w:lang w:val="pt-BR"/>
              </w:rPr>
              <w:t xml:space="preserve"> 8B Proposto</w:t>
            </w:r>
          </w:p>
        </w:tc>
        <w:tc>
          <w:tcPr>
            <w:tcW w:w="6520" w:type="dxa"/>
            <w:tcBorders>
              <w:top w:val="outset" w:color="auto" w:sz="6" w:space="0"/>
              <w:left w:val="outset" w:color="auto" w:sz="6" w:space="0"/>
              <w:bottom w:val="outset" w:color="auto" w:sz="6" w:space="0"/>
              <w:right w:val="outset" w:color="auto" w:sz="6" w:space="0"/>
            </w:tcBorders>
          </w:tcPr>
          <w:p w14:paraId="0F60F3A2">
            <w:pPr>
              <w:spacing w:after="160" w:line="259" w:lineRule="auto"/>
              <w:jc w:val="both"/>
            </w:pPr>
            <w:r>
              <w:t>Nenhum</w:t>
            </w:r>
          </w:p>
        </w:tc>
      </w:tr>
      <w:tr w14:paraId="6097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6" w:type="dxa"/>
            <w:gridSpan w:val="2"/>
            <w:tcBorders>
              <w:top w:val="nil"/>
              <w:left w:val="outset" w:color="auto" w:sz="6" w:space="0"/>
              <w:bottom w:val="outset" w:color="auto" w:sz="6" w:space="0"/>
              <w:right w:val="outset" w:color="auto" w:sz="6" w:space="0"/>
            </w:tcBorders>
          </w:tcPr>
          <w:p w14:paraId="4639CB30">
            <w:pPr>
              <w:spacing w:after="160" w:line="259" w:lineRule="auto"/>
              <w:jc w:val="both"/>
            </w:pPr>
            <w:r>
              <w:t>Fórmula de cálculo</w:t>
            </w:r>
          </w:p>
        </w:tc>
        <w:tc>
          <w:tcPr>
            <w:tcW w:w="6520" w:type="dxa"/>
            <w:tcBorders>
              <w:top w:val="nil"/>
              <w:left w:val="outset" w:color="auto" w:sz="6" w:space="0"/>
              <w:bottom w:val="outset" w:color="auto" w:sz="6" w:space="0"/>
              <w:right w:val="outset" w:color="auto" w:sz="6" w:space="0"/>
            </w:tcBorders>
          </w:tcPr>
          <w:p w14:paraId="033EFB90">
            <w:pPr>
              <w:spacing w:after="160" w:line="259" w:lineRule="auto"/>
              <w:jc w:val="both"/>
            </w:pPr>
            <w:r>
              <w:t>Soma dos anos de estudo das pessoas na faixa etária de 18 a 29 anos de idade residente no campo / População de 18 a 29 anos de idade residente no campo.</w:t>
            </w:r>
          </w:p>
        </w:tc>
      </w:tr>
      <w:tr w14:paraId="5028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6" w:type="dxa"/>
            <w:gridSpan w:val="2"/>
            <w:tcBorders>
              <w:top w:val="nil"/>
              <w:left w:val="outset" w:color="auto" w:sz="6" w:space="0"/>
              <w:bottom w:val="outset" w:color="auto" w:sz="6" w:space="0"/>
              <w:right w:val="outset" w:color="auto" w:sz="6" w:space="0"/>
            </w:tcBorders>
          </w:tcPr>
          <w:p w14:paraId="461BF6B2">
            <w:pPr>
              <w:spacing w:after="160" w:line="259" w:lineRule="auto"/>
              <w:jc w:val="both"/>
            </w:pPr>
            <w:r>
              <w:t>Justificativa</w:t>
            </w:r>
          </w:p>
        </w:tc>
        <w:tc>
          <w:tcPr>
            <w:tcW w:w="6520" w:type="dxa"/>
            <w:tcBorders>
              <w:top w:val="nil"/>
              <w:left w:val="outset" w:color="auto" w:sz="6" w:space="0"/>
              <w:bottom w:val="outset" w:color="auto" w:sz="6" w:space="0"/>
              <w:right w:val="outset" w:color="auto" w:sz="6" w:space="0"/>
            </w:tcBorders>
          </w:tcPr>
          <w:p w14:paraId="548D8D99">
            <w:pPr>
              <w:spacing w:after="160" w:line="259" w:lineRule="auto"/>
              <w:jc w:val="both"/>
            </w:pPr>
            <w:r>
              <w:t>Inviável. Não existe dado público municipal e anual que informe anos de estudos de todas as pessoas na faixa etária selecionada. Informação disponível somente para anos censitários.</w:t>
            </w:r>
          </w:p>
        </w:tc>
      </w:tr>
    </w:tbl>
    <w:p w14:paraId="5AE1033E">
      <w:r>
        <w:t xml:space="preserve"> </w:t>
      </w:r>
    </w:p>
    <w:p w14:paraId="390378FE"/>
    <w:p w14:paraId="49FAC38A"/>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10"/>
        <w:gridCol w:w="6522"/>
      </w:tblGrid>
      <w:tr w14:paraId="55D8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11806873">
            <w:pPr>
              <w:pStyle w:val="16"/>
              <w:numPr>
                <w:ilvl w:val="0"/>
                <w:numId w:val="0"/>
              </w:numPr>
              <w:jc w:val="center"/>
              <w:rPr>
                <w:rFonts w:hint="default"/>
                <w:b/>
                <w:vertAlign w:val="baseline"/>
                <w:lang w:val="pt-BR"/>
              </w:rPr>
            </w:pPr>
            <w:r>
              <w:rPr>
                <w:rFonts w:hint="default"/>
                <w:b/>
                <w:vertAlign w:val="baseline"/>
                <w:lang w:val="pt-BR"/>
              </w:rPr>
              <w:t>Ficha metodológica para o indicador 8C</w:t>
            </w:r>
            <w:r>
              <w:rPr>
                <w:rFonts w:hint="default"/>
                <w:b/>
                <w:bCs w:val="0"/>
                <w:vertAlign w:val="baseline"/>
                <w:lang w:val="pt-BR"/>
              </w:rPr>
              <w:t xml:space="preserve"> </w:t>
            </w:r>
            <w:r>
              <w:rPr>
                <w:rFonts w:hint="default"/>
                <w:b/>
                <w:vertAlign w:val="baseline"/>
                <w:lang w:val="pt-BR"/>
              </w:rPr>
              <w:t>- base PNE</w:t>
            </w:r>
          </w:p>
        </w:tc>
      </w:tr>
      <w:tr w14:paraId="2071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4" w:type="dxa"/>
            <w:tcBorders>
              <w:top w:val="outset" w:color="auto" w:sz="6" w:space="0"/>
              <w:left w:val="outset" w:color="auto" w:sz="6" w:space="0"/>
              <w:bottom w:val="outset" w:color="auto" w:sz="6" w:space="0"/>
              <w:right w:val="outset" w:color="auto" w:sz="6" w:space="0"/>
            </w:tcBorders>
          </w:tcPr>
          <w:p w14:paraId="14CFDBB5">
            <w:pPr>
              <w:rPr>
                <w:b/>
              </w:rPr>
            </w:pPr>
            <w:r>
              <w:t xml:space="preserve"> </w:t>
            </w: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4B471CED">
            <w:pPr>
              <w:spacing w:after="160" w:line="259" w:lineRule="auto"/>
              <w:rPr>
                <w:b/>
              </w:rPr>
            </w:pPr>
            <w:r>
              <w:rPr>
                <w:b/>
              </w:rPr>
              <w:t>Texto da meta</w:t>
            </w:r>
          </w:p>
        </w:tc>
      </w:tr>
      <w:tr w14:paraId="0F1B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4" w:type="dxa"/>
            <w:tcBorders>
              <w:top w:val="nil"/>
              <w:left w:val="outset" w:color="auto" w:sz="6" w:space="0"/>
              <w:bottom w:val="outset" w:color="auto" w:sz="6" w:space="0"/>
              <w:right w:val="outset" w:color="auto" w:sz="6" w:space="0"/>
            </w:tcBorders>
          </w:tcPr>
          <w:p w14:paraId="29A4D6C7">
            <w:pPr>
              <w:spacing w:after="160" w:line="259" w:lineRule="auto"/>
            </w:pPr>
            <w:r>
              <w:t>8</w:t>
            </w:r>
          </w:p>
          <w:p w14:paraId="239355A4">
            <w:pPr>
              <w:spacing w:after="160" w:line="259" w:lineRule="auto"/>
            </w:pPr>
          </w:p>
          <w:p w14:paraId="32E25302">
            <w:pPr>
              <w:spacing w:after="160" w:line="259" w:lineRule="auto"/>
            </w:pPr>
          </w:p>
        </w:tc>
        <w:tc>
          <w:tcPr>
            <w:tcW w:w="6532" w:type="dxa"/>
            <w:gridSpan w:val="2"/>
            <w:tcBorders>
              <w:top w:val="nil"/>
              <w:left w:val="outset" w:color="auto" w:sz="6" w:space="0"/>
              <w:bottom w:val="outset" w:color="auto" w:sz="6" w:space="0"/>
              <w:right w:val="outset" w:color="auto" w:sz="6" w:space="0"/>
            </w:tcBorders>
          </w:tcPr>
          <w:p w14:paraId="3C731005">
            <w:pPr>
              <w:spacing w:after="160" w:line="259" w:lineRule="auto"/>
              <w:jc w:val="both"/>
            </w:pPr>
            <w:r>
              <w:t>Elevar a escolaridade média da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negros e não negros declarados à Fundação Instituto Brasileiro de Geografia e Estatística - IBGE.</w:t>
            </w:r>
          </w:p>
        </w:tc>
      </w:tr>
      <w:tr w14:paraId="406F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4" w:type="dxa"/>
            <w:gridSpan w:val="2"/>
            <w:tcBorders>
              <w:top w:val="outset" w:color="auto" w:sz="6" w:space="0"/>
              <w:left w:val="outset" w:color="auto" w:sz="6" w:space="0"/>
              <w:bottom w:val="outset" w:color="auto" w:sz="6" w:space="0"/>
              <w:right w:val="outset" w:color="auto" w:sz="6" w:space="0"/>
            </w:tcBorders>
          </w:tcPr>
          <w:p w14:paraId="1F0E2245">
            <w:pPr>
              <w:spacing w:after="160" w:line="259" w:lineRule="auto"/>
              <w:rPr>
                <w:rFonts w:hint="default"/>
                <w:lang w:val="pt-BR"/>
              </w:rPr>
            </w:pPr>
            <w:r>
              <w:rPr>
                <w:rFonts w:hint="default"/>
                <w:lang w:val="pt-BR"/>
              </w:rPr>
              <w:t>Indicador 8C Nacional</w:t>
            </w:r>
          </w:p>
        </w:tc>
        <w:tc>
          <w:tcPr>
            <w:tcW w:w="6522" w:type="dxa"/>
            <w:tcBorders>
              <w:top w:val="outset" w:color="auto" w:sz="6" w:space="0"/>
              <w:left w:val="outset" w:color="auto" w:sz="6" w:space="0"/>
              <w:bottom w:val="outset" w:color="auto" w:sz="6" w:space="0"/>
              <w:right w:val="outset" w:color="auto" w:sz="6" w:space="0"/>
            </w:tcBorders>
          </w:tcPr>
          <w:p w14:paraId="6DADB8DE">
            <w:pPr>
              <w:spacing w:after="160" w:line="259" w:lineRule="auto"/>
              <w:rPr>
                <w:rFonts w:hint="default"/>
                <w:lang w:val="pt-BR"/>
              </w:rPr>
            </w:pPr>
            <w:r>
              <w:rPr>
                <w:rFonts w:hint="default"/>
                <w:lang w:val="pt-BR"/>
              </w:rPr>
              <w:t>Escolaridade média, em anos de estudo, da população de 18 a 29 anos pertencentes aos 25% mais pobres (renda domiciliar per capita).</w:t>
            </w:r>
          </w:p>
        </w:tc>
      </w:tr>
      <w:tr w14:paraId="64B0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4" w:type="dxa"/>
            <w:gridSpan w:val="2"/>
            <w:tcBorders>
              <w:top w:val="outset" w:color="auto" w:sz="6" w:space="0"/>
              <w:left w:val="outset" w:color="auto" w:sz="6" w:space="0"/>
              <w:bottom w:val="outset" w:color="auto" w:sz="6" w:space="0"/>
              <w:right w:val="outset" w:color="auto" w:sz="6" w:space="0"/>
            </w:tcBorders>
          </w:tcPr>
          <w:p w14:paraId="08CFA45E">
            <w:pPr>
              <w:spacing w:after="160" w:line="259" w:lineRule="auto"/>
              <w:rPr>
                <w:rFonts w:hint="default"/>
                <w:lang w:val="pt-BR"/>
              </w:rPr>
            </w:pPr>
            <w:r>
              <w:t xml:space="preserve">Indicador </w:t>
            </w:r>
            <w:r>
              <w:rPr>
                <w:rFonts w:hint="default"/>
                <w:lang w:val="pt-BR"/>
              </w:rPr>
              <w:t>8C Proposto</w:t>
            </w:r>
          </w:p>
        </w:tc>
        <w:tc>
          <w:tcPr>
            <w:tcW w:w="6522" w:type="dxa"/>
            <w:tcBorders>
              <w:top w:val="outset" w:color="auto" w:sz="6" w:space="0"/>
              <w:left w:val="outset" w:color="auto" w:sz="6" w:space="0"/>
              <w:bottom w:val="outset" w:color="auto" w:sz="6" w:space="0"/>
              <w:right w:val="outset" w:color="auto" w:sz="6" w:space="0"/>
            </w:tcBorders>
          </w:tcPr>
          <w:p w14:paraId="0EC47501">
            <w:pPr>
              <w:spacing w:after="160" w:line="259" w:lineRule="auto"/>
            </w:pPr>
            <w:r>
              <w:t>Nenhum</w:t>
            </w:r>
          </w:p>
        </w:tc>
      </w:tr>
      <w:tr w14:paraId="08EB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4" w:type="dxa"/>
            <w:gridSpan w:val="2"/>
            <w:tcBorders>
              <w:top w:val="nil"/>
              <w:left w:val="outset" w:color="auto" w:sz="6" w:space="0"/>
              <w:bottom w:val="outset" w:color="auto" w:sz="6" w:space="0"/>
              <w:right w:val="outset" w:color="auto" w:sz="6" w:space="0"/>
            </w:tcBorders>
          </w:tcPr>
          <w:p w14:paraId="28D9BFD3">
            <w:pPr>
              <w:spacing w:after="160" w:line="259" w:lineRule="auto"/>
            </w:pPr>
            <w:r>
              <w:t>Fórmula de cálculo</w:t>
            </w:r>
          </w:p>
        </w:tc>
        <w:tc>
          <w:tcPr>
            <w:tcW w:w="6522" w:type="dxa"/>
            <w:tcBorders>
              <w:top w:val="nil"/>
              <w:left w:val="outset" w:color="auto" w:sz="6" w:space="0"/>
              <w:bottom w:val="outset" w:color="auto" w:sz="6" w:space="0"/>
              <w:right w:val="outset" w:color="auto" w:sz="6" w:space="0"/>
            </w:tcBorders>
          </w:tcPr>
          <w:p w14:paraId="0B35A80B">
            <w:pPr>
              <w:spacing w:after="160" w:line="259" w:lineRule="auto"/>
              <w:jc w:val="both"/>
              <w:rPr>
                <w:rFonts w:hint="default"/>
                <w:lang w:val="pt-BR"/>
              </w:rPr>
            </w:pPr>
            <w:r>
              <w:t>Soma dos anos de estudo das pessoas na faixa etária de 18 a 29 anos de idade pertencentes aos 25% mais pobres / População de 18 a 29 anos de idade pertencente aos 25% mais pobres</w:t>
            </w:r>
            <w:r>
              <w:rPr>
                <w:rFonts w:hint="default"/>
                <w:lang w:val="pt-BR"/>
              </w:rPr>
              <w:t>.</w:t>
            </w:r>
          </w:p>
        </w:tc>
      </w:tr>
      <w:tr w14:paraId="03BF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4" w:type="dxa"/>
            <w:gridSpan w:val="2"/>
            <w:tcBorders>
              <w:top w:val="nil"/>
              <w:left w:val="outset" w:color="auto" w:sz="6" w:space="0"/>
              <w:bottom w:val="outset" w:color="auto" w:sz="6" w:space="0"/>
              <w:right w:val="outset" w:color="auto" w:sz="6" w:space="0"/>
            </w:tcBorders>
          </w:tcPr>
          <w:p w14:paraId="26908ABC">
            <w:pPr>
              <w:spacing w:after="160" w:line="259" w:lineRule="auto"/>
            </w:pPr>
            <w:r>
              <w:t>Justificativa</w:t>
            </w:r>
          </w:p>
        </w:tc>
        <w:tc>
          <w:tcPr>
            <w:tcW w:w="6522" w:type="dxa"/>
            <w:tcBorders>
              <w:top w:val="nil"/>
              <w:left w:val="outset" w:color="auto" w:sz="6" w:space="0"/>
              <w:bottom w:val="outset" w:color="auto" w:sz="6" w:space="0"/>
              <w:right w:val="outset" w:color="auto" w:sz="6" w:space="0"/>
            </w:tcBorders>
          </w:tcPr>
          <w:p w14:paraId="59B3E5C3">
            <w:pPr>
              <w:spacing w:after="160" w:line="259" w:lineRule="auto"/>
              <w:jc w:val="both"/>
            </w:pPr>
            <w:r>
              <w:t>Inviável. Não existe dado público municipal e anual que informe anos de estudos todas as pessoas. Informação disponível somente para anos censitários. Mesmo para Estado o coeficiênte de variação da PNAD não recomenda desagregação para essa faixa etária, seguida de faixas de rendimento.</w:t>
            </w:r>
          </w:p>
        </w:tc>
      </w:tr>
    </w:tbl>
    <w:p w14:paraId="75E19840">
      <w:r>
        <w:t xml:space="preserve"> </w:t>
      </w:r>
    </w:p>
    <w:p w14:paraId="433D2885"/>
    <w:p w14:paraId="419F6AD4"/>
    <w:p w14:paraId="58B4B1E9"/>
    <w:p w14:paraId="3AADC2A4"/>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14"/>
        <w:gridCol w:w="6518"/>
      </w:tblGrid>
      <w:tr w14:paraId="2C7A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7FA1B256">
            <w:pPr>
              <w:pStyle w:val="16"/>
              <w:numPr>
                <w:ilvl w:val="0"/>
                <w:numId w:val="0"/>
              </w:numPr>
              <w:jc w:val="center"/>
              <w:rPr>
                <w:rFonts w:hint="default"/>
                <w:b/>
                <w:vertAlign w:val="baseline"/>
                <w:lang w:val="pt-BR"/>
              </w:rPr>
            </w:pPr>
            <w:r>
              <w:rPr>
                <w:rFonts w:hint="default"/>
                <w:b/>
                <w:vertAlign w:val="baseline"/>
                <w:lang w:val="pt-BR"/>
              </w:rPr>
              <w:t>Ficha metodológica para o indicador 8D</w:t>
            </w:r>
            <w:r>
              <w:rPr>
                <w:rFonts w:hint="default"/>
                <w:b/>
                <w:bCs w:val="0"/>
                <w:vertAlign w:val="baseline"/>
                <w:lang w:val="pt-BR"/>
              </w:rPr>
              <w:t xml:space="preserve"> </w:t>
            </w:r>
            <w:r>
              <w:rPr>
                <w:rFonts w:hint="default"/>
                <w:b/>
                <w:vertAlign w:val="baseline"/>
                <w:lang w:val="pt-BR"/>
              </w:rPr>
              <w:t>- base PNE</w:t>
            </w:r>
          </w:p>
        </w:tc>
      </w:tr>
      <w:tr w14:paraId="0C93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4" w:type="dxa"/>
            <w:tcBorders>
              <w:top w:val="outset" w:color="auto" w:sz="6" w:space="0"/>
              <w:left w:val="outset" w:color="auto" w:sz="6" w:space="0"/>
              <w:bottom w:val="outset" w:color="auto" w:sz="6" w:space="0"/>
              <w:right w:val="outset" w:color="auto" w:sz="6" w:space="0"/>
            </w:tcBorders>
          </w:tcPr>
          <w:p w14:paraId="1FDC3C33">
            <w:pPr>
              <w:rPr>
                <w:b/>
              </w:rPr>
            </w:pPr>
            <w:r>
              <w:t xml:space="preserve"> </w:t>
            </w: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565DB8DC">
            <w:pPr>
              <w:spacing w:after="160" w:line="259" w:lineRule="auto"/>
              <w:rPr>
                <w:b/>
              </w:rPr>
            </w:pPr>
            <w:r>
              <w:rPr>
                <w:b/>
              </w:rPr>
              <w:t>Texto da meta</w:t>
            </w:r>
          </w:p>
        </w:tc>
      </w:tr>
      <w:tr w14:paraId="3DD9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4" w:type="dxa"/>
            <w:tcBorders>
              <w:top w:val="nil"/>
              <w:left w:val="outset" w:color="auto" w:sz="6" w:space="0"/>
              <w:bottom w:val="outset" w:color="auto" w:sz="6" w:space="0"/>
              <w:right w:val="outset" w:color="auto" w:sz="6" w:space="0"/>
            </w:tcBorders>
          </w:tcPr>
          <w:p w14:paraId="6F240388">
            <w:pPr>
              <w:spacing w:after="160" w:line="259" w:lineRule="auto"/>
            </w:pPr>
            <w:r>
              <w:t>8</w:t>
            </w:r>
          </w:p>
        </w:tc>
        <w:tc>
          <w:tcPr>
            <w:tcW w:w="6532" w:type="dxa"/>
            <w:gridSpan w:val="2"/>
            <w:tcBorders>
              <w:top w:val="nil"/>
              <w:left w:val="outset" w:color="auto" w:sz="6" w:space="0"/>
              <w:bottom w:val="outset" w:color="auto" w:sz="6" w:space="0"/>
              <w:right w:val="outset" w:color="auto" w:sz="6" w:space="0"/>
            </w:tcBorders>
          </w:tcPr>
          <w:p w14:paraId="62DDAB14">
            <w:pPr>
              <w:spacing w:after="160" w:line="259" w:lineRule="auto"/>
              <w:jc w:val="both"/>
            </w:pPr>
            <w:r>
              <w:t>Elevar a escolaridade média da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negros e não negros declarados à Fundação Instituto Brasileiro de Geografia e Estatística - IBGE.</w:t>
            </w:r>
          </w:p>
        </w:tc>
      </w:tr>
      <w:tr w14:paraId="31E1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8" w:type="dxa"/>
            <w:gridSpan w:val="2"/>
            <w:tcBorders>
              <w:top w:val="outset" w:color="auto" w:sz="6" w:space="0"/>
              <w:left w:val="outset" w:color="auto" w:sz="6" w:space="0"/>
              <w:bottom w:val="outset" w:color="auto" w:sz="6" w:space="0"/>
              <w:right w:val="outset" w:color="auto" w:sz="6" w:space="0"/>
            </w:tcBorders>
          </w:tcPr>
          <w:p w14:paraId="10B66C5F">
            <w:pPr>
              <w:spacing w:after="160" w:line="259" w:lineRule="auto"/>
              <w:rPr>
                <w:rFonts w:hint="default"/>
                <w:lang w:val="pt-BR"/>
              </w:rPr>
            </w:pPr>
            <w:r>
              <w:rPr>
                <w:rFonts w:hint="default"/>
                <w:lang w:val="pt-BR"/>
              </w:rPr>
              <w:t>Indicador 8D Nacional</w:t>
            </w:r>
          </w:p>
        </w:tc>
        <w:tc>
          <w:tcPr>
            <w:tcW w:w="6518" w:type="dxa"/>
            <w:tcBorders>
              <w:top w:val="outset" w:color="auto" w:sz="6" w:space="0"/>
              <w:left w:val="outset" w:color="auto" w:sz="6" w:space="0"/>
              <w:bottom w:val="outset" w:color="auto" w:sz="6" w:space="0"/>
              <w:right w:val="outset" w:color="auto" w:sz="6" w:space="0"/>
            </w:tcBorders>
          </w:tcPr>
          <w:p w14:paraId="427BDB01">
            <w:pPr>
              <w:spacing w:after="160" w:line="259" w:lineRule="auto"/>
              <w:rPr>
                <w:rFonts w:hint="default"/>
                <w:lang w:val="pt-BR"/>
              </w:rPr>
            </w:pPr>
            <w:r>
              <w:rPr>
                <w:rFonts w:hint="default"/>
                <w:lang w:val="pt-BR"/>
              </w:rPr>
              <w:t>Razão percentual entre a escolaridade média de negros e não negros na faixa etária de 18 a 29 anos.</w:t>
            </w:r>
          </w:p>
        </w:tc>
      </w:tr>
      <w:tr w14:paraId="09BD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8" w:type="dxa"/>
            <w:gridSpan w:val="2"/>
            <w:tcBorders>
              <w:top w:val="outset" w:color="auto" w:sz="6" w:space="0"/>
              <w:left w:val="outset" w:color="auto" w:sz="6" w:space="0"/>
              <w:bottom w:val="outset" w:color="auto" w:sz="6" w:space="0"/>
              <w:right w:val="outset" w:color="auto" w:sz="6" w:space="0"/>
            </w:tcBorders>
          </w:tcPr>
          <w:p w14:paraId="6C52A16E">
            <w:pPr>
              <w:spacing w:after="160" w:line="259" w:lineRule="auto"/>
              <w:rPr>
                <w:rFonts w:hint="default"/>
                <w:lang w:val="pt-BR"/>
              </w:rPr>
            </w:pPr>
            <w:r>
              <w:t xml:space="preserve">Indicador </w:t>
            </w:r>
            <w:r>
              <w:rPr>
                <w:rFonts w:hint="default"/>
                <w:lang w:val="pt-BR"/>
              </w:rPr>
              <w:t>8D Proposto</w:t>
            </w:r>
          </w:p>
        </w:tc>
        <w:tc>
          <w:tcPr>
            <w:tcW w:w="6518" w:type="dxa"/>
            <w:tcBorders>
              <w:top w:val="outset" w:color="auto" w:sz="6" w:space="0"/>
              <w:left w:val="outset" w:color="auto" w:sz="6" w:space="0"/>
              <w:bottom w:val="outset" w:color="auto" w:sz="6" w:space="0"/>
              <w:right w:val="outset" w:color="auto" w:sz="6" w:space="0"/>
            </w:tcBorders>
          </w:tcPr>
          <w:p w14:paraId="62CE3D5B">
            <w:pPr>
              <w:spacing w:after="160" w:line="259" w:lineRule="auto"/>
            </w:pPr>
            <w:r>
              <w:t>Nenhum</w:t>
            </w:r>
          </w:p>
        </w:tc>
      </w:tr>
      <w:tr w14:paraId="1D71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8" w:type="dxa"/>
            <w:gridSpan w:val="2"/>
            <w:tcBorders>
              <w:top w:val="nil"/>
              <w:left w:val="outset" w:color="auto" w:sz="6" w:space="0"/>
              <w:bottom w:val="outset" w:color="auto" w:sz="6" w:space="0"/>
              <w:right w:val="outset" w:color="auto" w:sz="6" w:space="0"/>
            </w:tcBorders>
          </w:tcPr>
          <w:p w14:paraId="687DE2BE">
            <w:pPr>
              <w:spacing w:after="160" w:line="259" w:lineRule="auto"/>
            </w:pPr>
            <w:r>
              <w:t>Fórmula de cálculo</w:t>
            </w:r>
          </w:p>
        </w:tc>
        <w:tc>
          <w:tcPr>
            <w:tcW w:w="6518" w:type="dxa"/>
            <w:tcBorders>
              <w:top w:val="nil"/>
              <w:left w:val="outset" w:color="auto" w:sz="6" w:space="0"/>
              <w:bottom w:val="outset" w:color="auto" w:sz="6" w:space="0"/>
              <w:right w:val="outset" w:color="auto" w:sz="6" w:space="0"/>
            </w:tcBorders>
          </w:tcPr>
          <w:p w14:paraId="38F01140">
            <w:pPr>
              <w:spacing w:after="160" w:line="259" w:lineRule="auto"/>
              <w:jc w:val="both"/>
            </w:pPr>
            <w:r>
              <w:t>(Soma dos anos de estudo de negros 'pretos e pardos' na faixa etária de 18 a 29 anos de idade / População de negros 'pretos e pardos' de 18 a 29 anos de idade // Soma dos anos de estudos de não negros 'brancos e amarelos' na faixa etária de 18 a 29 anos de idade / população de não negros 'brancos e amarelos' de 18 a 29 anos de idade</w:t>
            </w:r>
            <w:r>
              <w:rPr>
                <w:rFonts w:hint="default"/>
                <w:lang w:val="pt-BR"/>
              </w:rPr>
              <w:t>.</w:t>
            </w:r>
          </w:p>
        </w:tc>
      </w:tr>
      <w:tr w14:paraId="0585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8" w:type="dxa"/>
            <w:gridSpan w:val="2"/>
            <w:tcBorders>
              <w:top w:val="nil"/>
              <w:left w:val="outset" w:color="auto" w:sz="6" w:space="0"/>
              <w:bottom w:val="outset" w:color="auto" w:sz="6" w:space="0"/>
              <w:right w:val="outset" w:color="auto" w:sz="6" w:space="0"/>
            </w:tcBorders>
          </w:tcPr>
          <w:p w14:paraId="2F8B64E8">
            <w:pPr>
              <w:spacing w:after="160" w:line="259" w:lineRule="auto"/>
            </w:pPr>
            <w:r>
              <w:t>Justificativa</w:t>
            </w:r>
          </w:p>
        </w:tc>
        <w:tc>
          <w:tcPr>
            <w:tcW w:w="6518" w:type="dxa"/>
            <w:tcBorders>
              <w:top w:val="nil"/>
              <w:left w:val="outset" w:color="auto" w:sz="6" w:space="0"/>
              <w:bottom w:val="outset" w:color="auto" w:sz="6" w:space="0"/>
              <w:right w:val="outset" w:color="auto" w:sz="6" w:space="0"/>
            </w:tcBorders>
          </w:tcPr>
          <w:p w14:paraId="2728725C">
            <w:pPr>
              <w:spacing w:after="160" w:line="259" w:lineRule="auto"/>
              <w:jc w:val="both"/>
            </w:pPr>
            <w:r>
              <w:t>Inviável. Não existe dado público municipal e anual que informe anos de estudos todas as pessoas. Informação disponível somente para anos censitários.</w:t>
            </w:r>
          </w:p>
        </w:tc>
      </w:tr>
    </w:tbl>
    <w:p w14:paraId="3418F35F">
      <w:pPr>
        <w:jc w:val="both"/>
        <w:rPr>
          <w:rFonts w:hint="default"/>
          <w:lang w:val="pt-BR"/>
        </w:rPr>
      </w:pPr>
      <w:r>
        <w:t xml:space="preserve"> </w:t>
      </w:r>
      <w:r>
        <w:rPr>
          <w:rFonts w:hint="default"/>
          <w:lang w:val="pt-BR"/>
        </w:rPr>
        <w:tab/>
      </w:r>
    </w:p>
    <w:p w14:paraId="1111A85C">
      <w:pPr>
        <w:spacing w:line="360" w:lineRule="auto"/>
        <w:ind w:firstLine="708" w:firstLineChars="0"/>
        <w:jc w:val="both"/>
        <w:rPr>
          <w:rFonts w:hint="default"/>
          <w:lang w:val="pt-BR"/>
        </w:rPr>
      </w:pPr>
      <w:r>
        <w:t xml:space="preserve">Conforme os dados apresentados acima, pelo caderno de subsídios para o Monitoramento e Avaliação dos Planos Municipais de Educação, elaborado pela Secretaria de Estado da Educação - SEED e Instituto Paranaense de Desenvolvimento Econômico e Social – IPARDES, a meta está sendo inviável de ser cumprida, pois não existem dados municipais que informem os anos de estudo das pessoas. </w:t>
      </w:r>
      <w:r>
        <w:rPr>
          <w:rFonts w:hint="default"/>
          <w:lang w:val="pt-BR"/>
        </w:rPr>
        <w:t>O Colégio Estadual Nova Esperança oferece EJA - EAD.</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0"/>
        <w:gridCol w:w="17"/>
        <w:gridCol w:w="6519"/>
      </w:tblGrid>
      <w:tr w14:paraId="79AD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4A06E17F">
            <w:pPr>
              <w:pStyle w:val="16"/>
              <w:numPr>
                <w:ilvl w:val="0"/>
                <w:numId w:val="0"/>
              </w:numPr>
              <w:jc w:val="center"/>
              <w:rPr>
                <w:rFonts w:hint="default"/>
                <w:b/>
                <w:vertAlign w:val="baseline"/>
                <w:lang w:val="pt-BR"/>
              </w:rPr>
            </w:pPr>
            <w:r>
              <w:rPr>
                <w:rFonts w:hint="default"/>
                <w:b/>
                <w:vertAlign w:val="baseline"/>
                <w:lang w:val="pt-BR"/>
              </w:rPr>
              <w:t>Ficha metodológica para o indicador 9A</w:t>
            </w:r>
            <w:r>
              <w:rPr>
                <w:rFonts w:hint="default"/>
                <w:b/>
                <w:bCs w:val="0"/>
                <w:vertAlign w:val="baseline"/>
                <w:lang w:val="pt-BR"/>
              </w:rPr>
              <w:t xml:space="preserve"> </w:t>
            </w:r>
            <w:r>
              <w:rPr>
                <w:rFonts w:hint="default"/>
                <w:b/>
                <w:vertAlign w:val="baseline"/>
                <w:lang w:val="pt-BR"/>
              </w:rPr>
              <w:t>- base PNE</w:t>
            </w:r>
          </w:p>
        </w:tc>
      </w:tr>
      <w:tr w14:paraId="7D4A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0" w:type="dxa"/>
            <w:tcBorders>
              <w:top w:val="outset" w:color="auto" w:sz="6" w:space="0"/>
              <w:left w:val="outset" w:color="auto" w:sz="6" w:space="0"/>
              <w:bottom w:val="outset" w:color="auto" w:sz="6" w:space="0"/>
              <w:right w:val="outset" w:color="auto" w:sz="6" w:space="0"/>
            </w:tcBorders>
          </w:tcPr>
          <w:p w14:paraId="7A1DE994">
            <w:pPr>
              <w:rPr>
                <w:b/>
              </w:rPr>
            </w:pPr>
            <w:r>
              <w:t xml:space="preserve"> </w:t>
            </w:r>
            <w:r>
              <w:rPr>
                <w:b/>
              </w:rPr>
              <w:t>Meta</w:t>
            </w:r>
          </w:p>
        </w:tc>
        <w:tc>
          <w:tcPr>
            <w:tcW w:w="6536" w:type="dxa"/>
            <w:gridSpan w:val="2"/>
            <w:tcBorders>
              <w:top w:val="outset" w:color="auto" w:sz="6" w:space="0"/>
              <w:left w:val="outset" w:color="auto" w:sz="6" w:space="0"/>
              <w:bottom w:val="outset" w:color="auto" w:sz="6" w:space="0"/>
              <w:right w:val="outset" w:color="auto" w:sz="6" w:space="0"/>
            </w:tcBorders>
          </w:tcPr>
          <w:p w14:paraId="4AA01230">
            <w:pPr>
              <w:spacing w:after="160" w:line="259" w:lineRule="auto"/>
              <w:rPr>
                <w:b/>
              </w:rPr>
            </w:pPr>
            <w:r>
              <w:rPr>
                <w:b/>
              </w:rPr>
              <w:t>Texto da meta</w:t>
            </w:r>
          </w:p>
        </w:tc>
      </w:tr>
      <w:tr w14:paraId="6947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00" w:type="dxa"/>
            <w:tcBorders>
              <w:top w:val="nil"/>
              <w:left w:val="outset" w:color="auto" w:sz="6" w:space="0"/>
              <w:bottom w:val="outset" w:color="auto" w:sz="6" w:space="0"/>
              <w:right w:val="outset" w:color="auto" w:sz="6" w:space="0"/>
            </w:tcBorders>
          </w:tcPr>
          <w:p w14:paraId="78C2C5D3">
            <w:pPr>
              <w:spacing w:after="160" w:line="259" w:lineRule="auto"/>
            </w:pPr>
            <w:r>
              <w:t>9</w:t>
            </w:r>
          </w:p>
          <w:p w14:paraId="71C6B47D">
            <w:pPr>
              <w:spacing w:after="160" w:line="259" w:lineRule="auto"/>
            </w:pPr>
          </w:p>
          <w:p w14:paraId="6102E6A8">
            <w:pPr>
              <w:spacing w:after="160" w:line="259" w:lineRule="auto"/>
            </w:pPr>
          </w:p>
        </w:tc>
        <w:tc>
          <w:tcPr>
            <w:tcW w:w="6536" w:type="dxa"/>
            <w:gridSpan w:val="2"/>
            <w:tcBorders>
              <w:top w:val="nil"/>
              <w:left w:val="outset" w:color="auto" w:sz="6" w:space="0"/>
              <w:bottom w:val="outset" w:color="auto" w:sz="6" w:space="0"/>
              <w:right w:val="outset" w:color="auto" w:sz="6" w:space="0"/>
            </w:tcBorders>
          </w:tcPr>
          <w:p w14:paraId="5C110DA4">
            <w:pPr>
              <w:spacing w:after="160" w:line="259" w:lineRule="auto"/>
              <w:jc w:val="both"/>
            </w:pPr>
            <w:r>
              <w:t>Elevar a taxa de alfabetização da população com 15 (quinze) anos ou mais para 93,5% (noventa e três inteiros e cinco décimos por cento) até 2015 e, até o final da vigência deste PNE, erradicar o analfabetismo absoluto e reduzir em 50% (cinquenta por cento) a taxa de analfabetismo funcional.</w:t>
            </w:r>
          </w:p>
        </w:tc>
      </w:tr>
      <w:tr w14:paraId="7298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7" w:type="dxa"/>
            <w:gridSpan w:val="2"/>
            <w:tcBorders>
              <w:top w:val="outset" w:color="auto" w:sz="6" w:space="0"/>
              <w:left w:val="outset" w:color="auto" w:sz="6" w:space="0"/>
              <w:bottom w:val="outset" w:color="auto" w:sz="6" w:space="0"/>
              <w:right w:val="outset" w:color="auto" w:sz="6" w:space="0"/>
            </w:tcBorders>
          </w:tcPr>
          <w:p w14:paraId="4A581905">
            <w:pPr>
              <w:rPr>
                <w:rFonts w:hint="default"/>
                <w:b/>
                <w:lang w:val="pt-BR"/>
              </w:rPr>
            </w:pPr>
            <w:r>
              <w:rPr>
                <w:rFonts w:hint="default"/>
                <w:b/>
                <w:lang w:val="pt-BR"/>
              </w:rPr>
              <w:t xml:space="preserve">Indicador 9A Nacional </w:t>
            </w:r>
          </w:p>
        </w:tc>
        <w:tc>
          <w:tcPr>
            <w:tcW w:w="6519" w:type="dxa"/>
            <w:tcBorders>
              <w:top w:val="outset" w:color="auto" w:sz="6" w:space="0"/>
              <w:left w:val="outset" w:color="auto" w:sz="6" w:space="0"/>
              <w:bottom w:val="outset" w:color="auto" w:sz="6" w:space="0"/>
              <w:right w:val="outset" w:color="auto" w:sz="6" w:space="0"/>
            </w:tcBorders>
          </w:tcPr>
          <w:p w14:paraId="3BE859CE">
            <w:pPr>
              <w:spacing w:after="160" w:line="259" w:lineRule="auto"/>
              <w:rPr>
                <w:rFonts w:hint="default"/>
                <w:lang w:val="pt-BR"/>
              </w:rPr>
            </w:pPr>
            <w:r>
              <w:rPr>
                <w:rFonts w:hint="default"/>
                <w:lang w:val="pt-BR"/>
              </w:rPr>
              <w:t>Taxa de alfabetização da população de 15 anos ou mais de idade.</w:t>
            </w:r>
          </w:p>
        </w:tc>
      </w:tr>
      <w:tr w14:paraId="43BF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7" w:type="dxa"/>
            <w:gridSpan w:val="2"/>
            <w:tcBorders>
              <w:top w:val="outset" w:color="auto" w:sz="6" w:space="0"/>
              <w:left w:val="outset" w:color="auto" w:sz="6" w:space="0"/>
              <w:bottom w:val="outset" w:color="auto" w:sz="6" w:space="0"/>
              <w:right w:val="outset" w:color="auto" w:sz="6" w:space="0"/>
            </w:tcBorders>
          </w:tcPr>
          <w:p w14:paraId="7624D2E0">
            <w:pPr>
              <w:rPr>
                <w:rFonts w:hint="default"/>
                <w:lang w:val="pt-BR"/>
              </w:rPr>
            </w:pPr>
            <w:r>
              <w:rPr>
                <w:b/>
              </w:rPr>
              <w:t xml:space="preserve"> </w:t>
            </w:r>
            <w:r>
              <w:t xml:space="preserve">Indicador </w:t>
            </w:r>
            <w:r>
              <w:rPr>
                <w:rFonts w:hint="default"/>
                <w:lang w:val="pt-BR"/>
              </w:rPr>
              <w:t>9A Proposto</w:t>
            </w:r>
          </w:p>
        </w:tc>
        <w:tc>
          <w:tcPr>
            <w:tcW w:w="6519" w:type="dxa"/>
            <w:tcBorders>
              <w:top w:val="outset" w:color="auto" w:sz="6" w:space="0"/>
              <w:left w:val="outset" w:color="auto" w:sz="6" w:space="0"/>
              <w:bottom w:val="outset" w:color="auto" w:sz="6" w:space="0"/>
              <w:right w:val="outset" w:color="auto" w:sz="6" w:space="0"/>
            </w:tcBorders>
          </w:tcPr>
          <w:p w14:paraId="58213527">
            <w:pPr>
              <w:spacing w:after="160" w:line="259" w:lineRule="auto"/>
            </w:pPr>
            <w:r>
              <w:t>Nenhum</w:t>
            </w:r>
          </w:p>
        </w:tc>
      </w:tr>
      <w:tr w14:paraId="45CC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7" w:type="dxa"/>
            <w:gridSpan w:val="2"/>
            <w:tcBorders>
              <w:top w:val="nil"/>
              <w:left w:val="outset" w:color="auto" w:sz="6" w:space="0"/>
              <w:bottom w:val="outset" w:color="auto" w:sz="6" w:space="0"/>
              <w:right w:val="outset" w:color="auto" w:sz="6" w:space="0"/>
            </w:tcBorders>
          </w:tcPr>
          <w:p w14:paraId="0BDC8D73">
            <w:pPr>
              <w:spacing w:after="160" w:line="259" w:lineRule="auto"/>
            </w:pPr>
            <w:r>
              <w:t>Fórmula de cálculo</w:t>
            </w:r>
          </w:p>
        </w:tc>
        <w:tc>
          <w:tcPr>
            <w:tcW w:w="6519"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6489"/>
            </w:tblGrid>
            <w:tr w14:paraId="47EC57E7">
              <w:tblPrEx>
                <w:tblCellMar>
                  <w:top w:w="15" w:type="dxa"/>
                  <w:left w:w="15" w:type="dxa"/>
                  <w:bottom w:w="15" w:type="dxa"/>
                  <w:right w:w="15" w:type="dxa"/>
                </w:tblCellMar>
              </w:tblPrEx>
              <w:tc>
                <w:tcPr>
                  <w:tcW w:w="0" w:type="auto"/>
                  <w:tcBorders>
                    <w:top w:val="nil"/>
                    <w:left w:val="nil"/>
                    <w:bottom w:val="nil"/>
                    <w:right w:val="nil"/>
                  </w:tcBorders>
                </w:tcPr>
                <w:p w14:paraId="4F4E8B37">
                  <w:pPr>
                    <w:jc w:val="both"/>
                  </w:pPr>
                  <w:r>
                    <w:t>(População com 15 anos ou mais de idade que sabe ler e escrever / Total da população com 15 anos ou mais de idade) x 100</w:t>
                  </w:r>
                </w:p>
              </w:tc>
            </w:tr>
          </w:tbl>
          <w:p w14:paraId="35DF2BFB">
            <w:pPr>
              <w:spacing w:after="160" w:line="259" w:lineRule="auto"/>
            </w:pPr>
          </w:p>
        </w:tc>
      </w:tr>
      <w:tr w14:paraId="2DF0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17" w:type="dxa"/>
            <w:gridSpan w:val="2"/>
            <w:tcBorders>
              <w:top w:val="nil"/>
              <w:left w:val="outset" w:color="auto" w:sz="6" w:space="0"/>
              <w:bottom w:val="outset" w:color="auto" w:sz="6" w:space="0"/>
              <w:right w:val="outset" w:color="auto" w:sz="6" w:space="0"/>
            </w:tcBorders>
          </w:tcPr>
          <w:p w14:paraId="3C2FE245">
            <w:pPr>
              <w:spacing w:after="160" w:line="259" w:lineRule="auto"/>
            </w:pPr>
            <w:r>
              <w:t>Justificativa</w:t>
            </w:r>
          </w:p>
          <w:p w14:paraId="6CDA6941">
            <w:pPr>
              <w:spacing w:after="160" w:line="259" w:lineRule="auto"/>
            </w:pPr>
          </w:p>
        </w:tc>
        <w:tc>
          <w:tcPr>
            <w:tcW w:w="6519"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225"/>
              <w:gridCol w:w="6264"/>
            </w:tblGrid>
            <w:tr w14:paraId="50D040EE">
              <w:tc>
                <w:tcPr>
                  <w:tcW w:w="225" w:type="dxa"/>
                  <w:tcBorders>
                    <w:top w:val="nil"/>
                    <w:left w:val="nil"/>
                    <w:bottom w:val="nil"/>
                    <w:right w:val="nil"/>
                  </w:tcBorders>
                </w:tcPr>
                <w:p w14:paraId="650AF7B4"/>
                <w:p w14:paraId="3742AF34"/>
              </w:tc>
              <w:tc>
                <w:tcPr>
                  <w:tcW w:w="0" w:type="auto"/>
                  <w:tcBorders>
                    <w:top w:val="nil"/>
                    <w:left w:val="nil"/>
                    <w:bottom w:val="nil"/>
                    <w:right w:val="nil"/>
                  </w:tcBorders>
                </w:tcPr>
                <w:p w14:paraId="2377B073">
                  <w:pPr>
                    <w:jc w:val="both"/>
                  </w:pPr>
                  <w:r>
                    <w:t>Inviável. Não existe dado público municipal e anual que informe se a pessoa sabe ler ou escrever. Informação disponível somente para anos censitários.</w:t>
                  </w:r>
                </w:p>
              </w:tc>
            </w:tr>
          </w:tbl>
          <w:p w14:paraId="629EC799">
            <w:pPr>
              <w:spacing w:after="160" w:line="259" w:lineRule="auto"/>
            </w:pPr>
          </w:p>
        </w:tc>
      </w:tr>
    </w:tbl>
    <w:p w14:paraId="440CDB44">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8"/>
        <w:gridCol w:w="6778"/>
      </w:tblGrid>
      <w:tr w14:paraId="6B60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61989DBF">
            <w:pPr>
              <w:pStyle w:val="16"/>
              <w:numPr>
                <w:ilvl w:val="0"/>
                <w:numId w:val="0"/>
              </w:numPr>
              <w:jc w:val="center"/>
              <w:rPr>
                <w:rFonts w:hint="default"/>
                <w:b/>
                <w:vertAlign w:val="baseline"/>
                <w:lang w:val="pt-BR"/>
              </w:rPr>
            </w:pPr>
            <w:r>
              <w:rPr>
                <w:rFonts w:hint="default"/>
                <w:b/>
                <w:vertAlign w:val="baseline"/>
                <w:lang w:val="pt-BR"/>
              </w:rPr>
              <w:t>Ficha metodológica para o indicador 9B</w:t>
            </w:r>
            <w:r>
              <w:rPr>
                <w:rFonts w:hint="default"/>
                <w:b/>
                <w:bCs w:val="0"/>
                <w:vertAlign w:val="baseline"/>
                <w:lang w:val="pt-BR"/>
              </w:rPr>
              <w:t xml:space="preserve"> </w:t>
            </w:r>
            <w:r>
              <w:rPr>
                <w:rFonts w:hint="default"/>
                <w:b/>
                <w:vertAlign w:val="baseline"/>
                <w:lang w:val="pt-BR"/>
              </w:rPr>
              <w:t>- base PNE</w:t>
            </w:r>
          </w:p>
        </w:tc>
      </w:tr>
      <w:tr w14:paraId="69AF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58" w:type="dxa"/>
            <w:tcBorders>
              <w:top w:val="outset" w:color="auto" w:sz="6" w:space="0"/>
              <w:left w:val="outset" w:color="auto" w:sz="6" w:space="0"/>
              <w:bottom w:val="outset" w:color="auto" w:sz="6" w:space="0"/>
              <w:right w:val="outset" w:color="auto" w:sz="6" w:space="0"/>
            </w:tcBorders>
          </w:tcPr>
          <w:p w14:paraId="517E0620">
            <w:pPr>
              <w:rPr>
                <w:b/>
              </w:rPr>
            </w:pPr>
            <w:r>
              <w:t xml:space="preserve"> </w:t>
            </w:r>
            <w:r>
              <w:rPr>
                <w:b/>
              </w:rPr>
              <w:t>Meta</w:t>
            </w:r>
          </w:p>
        </w:tc>
        <w:tc>
          <w:tcPr>
            <w:tcW w:w="6778" w:type="dxa"/>
            <w:tcBorders>
              <w:top w:val="outset" w:color="auto" w:sz="6" w:space="0"/>
              <w:left w:val="outset" w:color="auto" w:sz="6" w:space="0"/>
              <w:bottom w:val="outset" w:color="auto" w:sz="6" w:space="0"/>
              <w:right w:val="outset" w:color="auto" w:sz="6" w:space="0"/>
            </w:tcBorders>
          </w:tcPr>
          <w:p w14:paraId="006375A0">
            <w:pPr>
              <w:spacing w:after="160" w:line="259" w:lineRule="auto"/>
              <w:rPr>
                <w:b/>
              </w:rPr>
            </w:pPr>
            <w:r>
              <w:rPr>
                <w:b/>
              </w:rPr>
              <w:t>Texto da meta</w:t>
            </w:r>
          </w:p>
        </w:tc>
      </w:tr>
      <w:tr w14:paraId="1DAB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58" w:type="dxa"/>
            <w:tcBorders>
              <w:top w:val="nil"/>
              <w:left w:val="outset" w:color="auto" w:sz="6" w:space="0"/>
              <w:bottom w:val="outset" w:color="auto" w:sz="6" w:space="0"/>
              <w:right w:val="outset" w:color="auto" w:sz="6" w:space="0"/>
            </w:tcBorders>
          </w:tcPr>
          <w:p w14:paraId="04B2F9B8">
            <w:pPr>
              <w:spacing w:after="160" w:line="259" w:lineRule="auto"/>
            </w:pPr>
            <w:r>
              <w:t>9</w:t>
            </w:r>
          </w:p>
          <w:p w14:paraId="5C8BC386">
            <w:pPr>
              <w:spacing w:after="160" w:line="259" w:lineRule="auto"/>
            </w:pPr>
          </w:p>
          <w:p w14:paraId="1F8CD16E">
            <w:pPr>
              <w:spacing w:after="160" w:line="259" w:lineRule="auto"/>
            </w:pPr>
          </w:p>
        </w:tc>
        <w:tc>
          <w:tcPr>
            <w:tcW w:w="6778" w:type="dxa"/>
            <w:tcBorders>
              <w:top w:val="nil"/>
              <w:left w:val="outset" w:color="auto" w:sz="6" w:space="0"/>
              <w:bottom w:val="outset" w:color="auto" w:sz="6" w:space="0"/>
              <w:right w:val="outset" w:color="auto" w:sz="6" w:space="0"/>
            </w:tcBorders>
          </w:tcPr>
          <w:p w14:paraId="5B173825">
            <w:pPr>
              <w:spacing w:after="160" w:line="259" w:lineRule="auto"/>
              <w:jc w:val="both"/>
            </w:pPr>
            <w:r>
              <w:t>Elevar a taxa de alfabetização da população com 15 (quinze) anos ou mais para 93,5% (noventa e três inteiros e cinco décimos por cento) até 2015 e, até o final da vigência deste PNE, erradicar o analfabetismo absoluto e reduzir em 50% (cinquenta por cento) a taxa de analfabetismo funcional.</w:t>
            </w:r>
          </w:p>
        </w:tc>
      </w:tr>
      <w:tr w14:paraId="4C2C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58" w:type="dxa"/>
            <w:tcBorders>
              <w:top w:val="outset" w:color="auto" w:sz="6" w:space="0"/>
              <w:left w:val="outset" w:color="auto" w:sz="6" w:space="0"/>
              <w:bottom w:val="outset" w:color="auto" w:sz="6" w:space="0"/>
              <w:right w:val="outset" w:color="auto" w:sz="6" w:space="0"/>
            </w:tcBorders>
          </w:tcPr>
          <w:p w14:paraId="5C608B09">
            <w:pPr>
              <w:spacing w:after="160" w:line="259" w:lineRule="auto"/>
              <w:rPr>
                <w:rFonts w:hint="default"/>
                <w:lang w:val="pt-BR"/>
              </w:rPr>
            </w:pPr>
            <w:r>
              <w:rPr>
                <w:rFonts w:hint="default"/>
                <w:lang w:val="pt-BR"/>
              </w:rPr>
              <w:t>Indicador 9B Nacional</w:t>
            </w:r>
          </w:p>
        </w:tc>
        <w:tc>
          <w:tcPr>
            <w:tcW w:w="6778" w:type="dxa"/>
            <w:tcBorders>
              <w:top w:val="outset" w:color="auto" w:sz="6" w:space="0"/>
              <w:left w:val="outset" w:color="auto" w:sz="6" w:space="0"/>
              <w:bottom w:val="outset" w:color="auto" w:sz="6" w:space="0"/>
              <w:right w:val="outset" w:color="auto" w:sz="6" w:space="0"/>
            </w:tcBorders>
          </w:tcPr>
          <w:p w14:paraId="4F32640B">
            <w:pPr>
              <w:spacing w:after="160" w:line="259" w:lineRule="auto"/>
              <w:rPr>
                <w:rFonts w:hint="default"/>
                <w:lang w:val="pt-BR"/>
              </w:rPr>
            </w:pPr>
            <w:r>
              <w:rPr>
                <w:rFonts w:hint="default"/>
                <w:lang w:val="pt-BR"/>
              </w:rPr>
              <w:t>Taxa de analfabetismo funcional de pessoas de 15 anos ou mais de idade.</w:t>
            </w:r>
          </w:p>
        </w:tc>
      </w:tr>
      <w:tr w14:paraId="6D6C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58" w:type="dxa"/>
            <w:tcBorders>
              <w:top w:val="outset" w:color="auto" w:sz="6" w:space="0"/>
              <w:left w:val="outset" w:color="auto" w:sz="6" w:space="0"/>
              <w:bottom w:val="outset" w:color="auto" w:sz="6" w:space="0"/>
              <w:right w:val="outset" w:color="auto" w:sz="6" w:space="0"/>
            </w:tcBorders>
          </w:tcPr>
          <w:p w14:paraId="7FC40D48">
            <w:pPr>
              <w:spacing w:after="160" w:line="259" w:lineRule="auto"/>
              <w:rPr>
                <w:rFonts w:hint="default"/>
                <w:lang w:val="pt-BR"/>
              </w:rPr>
            </w:pPr>
            <w:r>
              <w:t xml:space="preserve">Indicador </w:t>
            </w:r>
            <w:r>
              <w:rPr>
                <w:rFonts w:hint="default"/>
                <w:lang w:val="pt-BR"/>
              </w:rPr>
              <w:t>9B Proposto</w:t>
            </w:r>
          </w:p>
        </w:tc>
        <w:tc>
          <w:tcPr>
            <w:tcW w:w="6778" w:type="dxa"/>
            <w:tcBorders>
              <w:top w:val="outset" w:color="auto" w:sz="6" w:space="0"/>
              <w:left w:val="outset" w:color="auto" w:sz="6" w:space="0"/>
              <w:bottom w:val="outset" w:color="auto" w:sz="6" w:space="0"/>
              <w:right w:val="outset" w:color="auto" w:sz="6" w:space="0"/>
            </w:tcBorders>
          </w:tcPr>
          <w:p w14:paraId="122C26B7">
            <w:pPr>
              <w:spacing w:after="160" w:line="259" w:lineRule="auto"/>
            </w:pPr>
            <w:r>
              <w:t>Nenhum</w:t>
            </w:r>
          </w:p>
        </w:tc>
      </w:tr>
      <w:tr w14:paraId="1D1B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58" w:type="dxa"/>
            <w:tcBorders>
              <w:top w:val="nil"/>
              <w:left w:val="outset" w:color="auto" w:sz="6" w:space="0"/>
              <w:bottom w:val="outset" w:color="auto" w:sz="6" w:space="0"/>
              <w:right w:val="outset" w:color="auto" w:sz="6" w:space="0"/>
            </w:tcBorders>
          </w:tcPr>
          <w:p w14:paraId="40ADB607">
            <w:pPr>
              <w:spacing w:after="160" w:line="259" w:lineRule="auto"/>
            </w:pPr>
            <w:r>
              <w:t>Fórmula de cálculo</w:t>
            </w:r>
          </w:p>
        </w:tc>
        <w:tc>
          <w:tcPr>
            <w:tcW w:w="6778" w:type="dxa"/>
            <w:tcBorders>
              <w:top w:val="nil"/>
              <w:left w:val="outset" w:color="auto" w:sz="6" w:space="0"/>
              <w:bottom w:val="outset" w:color="auto" w:sz="6" w:space="0"/>
              <w:right w:val="outset" w:color="auto" w:sz="6" w:space="0"/>
            </w:tcBorders>
          </w:tcPr>
          <w:p w14:paraId="320D1D78">
            <w:pPr>
              <w:spacing w:after="160" w:line="259" w:lineRule="auto"/>
              <w:jc w:val="both"/>
            </w:pPr>
            <w:r>
              <w:t>População de 15 anos ou mais de idade que não concluiu os anos iniciais do ensino fundamental ou não sabe ler/escrever / Total da população com 15 anos ou mais de idade) x 100</w:t>
            </w:r>
          </w:p>
        </w:tc>
      </w:tr>
      <w:tr w14:paraId="2F82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58" w:type="dxa"/>
            <w:tcBorders>
              <w:top w:val="nil"/>
              <w:left w:val="outset" w:color="auto" w:sz="6" w:space="0"/>
              <w:bottom w:val="outset" w:color="auto" w:sz="6" w:space="0"/>
              <w:right w:val="outset" w:color="auto" w:sz="6" w:space="0"/>
            </w:tcBorders>
          </w:tcPr>
          <w:p w14:paraId="4EF17551">
            <w:pPr>
              <w:spacing w:after="160" w:line="259" w:lineRule="auto"/>
            </w:pPr>
            <w:r>
              <w:t>Justificativa</w:t>
            </w:r>
          </w:p>
        </w:tc>
        <w:tc>
          <w:tcPr>
            <w:tcW w:w="6778" w:type="dxa"/>
            <w:tcBorders>
              <w:top w:val="nil"/>
              <w:left w:val="outset" w:color="auto" w:sz="6" w:space="0"/>
              <w:bottom w:val="outset" w:color="auto" w:sz="6" w:space="0"/>
              <w:right w:val="outset" w:color="auto" w:sz="6" w:space="0"/>
            </w:tcBorders>
          </w:tcPr>
          <w:p w14:paraId="607A006B">
            <w:pPr>
              <w:spacing w:after="160" w:line="259" w:lineRule="auto"/>
              <w:jc w:val="both"/>
            </w:pPr>
            <w:r>
              <w:t>Inviável. Não existe dado público municipal e anual que informe a escolaridade dos indivíduos, uma vez que "analfabetismo funcional" foi conceituado no PNE em Movimento como baixa escolaridade .Informação disponível somente para anos censitários.</w:t>
            </w:r>
          </w:p>
        </w:tc>
      </w:tr>
    </w:tbl>
    <w:p w14:paraId="554A8ACD">
      <w:pPr>
        <w:rPr>
          <w:rFonts w:hint="default"/>
          <w:lang w:val="pt-BR"/>
        </w:rPr>
      </w:pPr>
      <w:r>
        <w:t xml:space="preserve"> </w:t>
      </w:r>
      <w:r>
        <w:rPr>
          <w:rFonts w:hint="default"/>
          <w:lang w:val="pt-BR"/>
        </w:rPr>
        <w:tab/>
      </w:r>
    </w:p>
    <w:p w14:paraId="6DDDA104">
      <w:pPr>
        <w:spacing w:line="360" w:lineRule="auto"/>
        <w:ind w:firstLine="708" w:firstLineChars="0"/>
        <w:rPr>
          <w:rFonts w:hint="default"/>
          <w:lang w:val="pt-BR"/>
        </w:rPr>
      </w:pPr>
      <w:r>
        <w:rPr>
          <w:rFonts w:hint="default"/>
          <w:lang w:val="pt-BR"/>
        </w:rPr>
        <w:t xml:space="preserve"> </w:t>
      </w:r>
      <w:r>
        <w:t xml:space="preserve">Conforme os dados apresentados acima, pelo caderno de subsídios para o Monitoramento e Avaliação dos Planos Municipais de Educação, elaborado pela Secretaria de Estado da Educação - SEED e Instituto Paranaense de Desenvolvimento Econômico e Social – IPARDES, a meta está sendo inviável de ser cumprida, pois não existem dados municipais que informem os anos de estudo das pessoas. </w:t>
      </w:r>
      <w:r>
        <w:rPr>
          <w:rFonts w:hint="default"/>
          <w:lang w:val="pt-BR"/>
        </w:rPr>
        <w:t>O Colégio Estadual Nova Esperança oferece EJA - EAD.</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7"/>
        <w:gridCol w:w="6999"/>
      </w:tblGrid>
      <w:tr w14:paraId="57D3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6E7320BB">
            <w:pPr>
              <w:pStyle w:val="16"/>
              <w:numPr>
                <w:ilvl w:val="0"/>
                <w:numId w:val="0"/>
              </w:numPr>
              <w:jc w:val="center"/>
              <w:rPr>
                <w:rFonts w:hint="default"/>
                <w:b/>
                <w:vertAlign w:val="baseline"/>
                <w:lang w:val="pt-BR"/>
              </w:rPr>
            </w:pPr>
            <w:r>
              <w:rPr>
                <w:rFonts w:hint="default"/>
                <w:b/>
                <w:vertAlign w:val="baseline"/>
                <w:lang w:val="pt-BR"/>
              </w:rPr>
              <w:t>Ficha metodológica para o indicador 10A</w:t>
            </w:r>
            <w:r>
              <w:rPr>
                <w:rFonts w:hint="default"/>
                <w:b/>
                <w:bCs w:val="0"/>
                <w:vertAlign w:val="baseline"/>
                <w:lang w:val="pt-BR"/>
              </w:rPr>
              <w:t xml:space="preserve"> </w:t>
            </w:r>
            <w:r>
              <w:rPr>
                <w:rFonts w:hint="default"/>
                <w:b/>
                <w:vertAlign w:val="baseline"/>
                <w:lang w:val="pt-BR"/>
              </w:rPr>
              <w:t>- base PNE</w:t>
            </w:r>
          </w:p>
        </w:tc>
      </w:tr>
      <w:tr w14:paraId="666A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37" w:type="dxa"/>
            <w:tcBorders>
              <w:top w:val="outset" w:color="auto" w:sz="6" w:space="0"/>
              <w:left w:val="outset" w:color="auto" w:sz="6" w:space="0"/>
              <w:bottom w:val="outset" w:color="auto" w:sz="6" w:space="0"/>
              <w:right w:val="outset" w:color="auto" w:sz="6" w:space="0"/>
            </w:tcBorders>
          </w:tcPr>
          <w:p w14:paraId="64BDED59">
            <w:pPr>
              <w:spacing w:after="160" w:line="259" w:lineRule="auto"/>
              <w:rPr>
                <w:b/>
              </w:rPr>
            </w:pPr>
            <w:r>
              <w:rPr>
                <w:b/>
              </w:rPr>
              <w:t>Meta</w:t>
            </w:r>
          </w:p>
        </w:tc>
        <w:tc>
          <w:tcPr>
            <w:tcW w:w="6999" w:type="dxa"/>
            <w:tcBorders>
              <w:top w:val="outset" w:color="auto" w:sz="6" w:space="0"/>
              <w:left w:val="outset" w:color="auto" w:sz="6" w:space="0"/>
              <w:bottom w:val="outset" w:color="auto" w:sz="6" w:space="0"/>
              <w:right w:val="outset" w:color="auto" w:sz="6" w:space="0"/>
            </w:tcBorders>
          </w:tcPr>
          <w:p w14:paraId="35F3973E">
            <w:pPr>
              <w:spacing w:after="160" w:line="259" w:lineRule="auto"/>
              <w:rPr>
                <w:b/>
              </w:rPr>
            </w:pPr>
            <w:r>
              <w:rPr>
                <w:b/>
              </w:rPr>
              <w:t>Texto da meta</w:t>
            </w:r>
          </w:p>
        </w:tc>
      </w:tr>
      <w:tr w14:paraId="630F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37" w:type="dxa"/>
            <w:tcBorders>
              <w:top w:val="nil"/>
              <w:left w:val="outset" w:color="auto" w:sz="6" w:space="0"/>
              <w:bottom w:val="outset" w:color="auto" w:sz="6" w:space="0"/>
              <w:right w:val="outset" w:color="auto" w:sz="6" w:space="0"/>
            </w:tcBorders>
          </w:tcPr>
          <w:p w14:paraId="05C1A5ED">
            <w:pPr>
              <w:spacing w:after="160" w:line="259" w:lineRule="auto"/>
            </w:pPr>
            <w:r>
              <w:t>10</w:t>
            </w:r>
          </w:p>
          <w:p w14:paraId="071199EA">
            <w:pPr>
              <w:spacing w:after="160" w:line="259" w:lineRule="auto"/>
            </w:pPr>
          </w:p>
        </w:tc>
        <w:tc>
          <w:tcPr>
            <w:tcW w:w="6999" w:type="dxa"/>
            <w:tcBorders>
              <w:top w:val="nil"/>
              <w:left w:val="outset" w:color="auto" w:sz="6" w:space="0"/>
              <w:bottom w:val="outset" w:color="auto" w:sz="6" w:space="0"/>
              <w:right w:val="outset" w:color="auto" w:sz="6" w:space="0"/>
            </w:tcBorders>
          </w:tcPr>
          <w:p w14:paraId="21DA4A9E">
            <w:pPr>
              <w:spacing w:after="160" w:line="259" w:lineRule="auto"/>
              <w:jc w:val="both"/>
            </w:pPr>
            <w:r>
              <w:t>Oferecer, no mínimo, 25% (vinte e cinco por cento) das matrículas de educação de jovens e adultos, nos ensinos fundamental e médio, na forma integrada à educação profissional.</w:t>
            </w:r>
          </w:p>
        </w:tc>
      </w:tr>
      <w:tr w14:paraId="494A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37" w:type="dxa"/>
            <w:tcBorders>
              <w:top w:val="outset" w:color="auto" w:sz="6" w:space="0"/>
              <w:left w:val="outset" w:color="auto" w:sz="6" w:space="0"/>
              <w:bottom w:val="outset" w:color="auto" w:sz="6" w:space="0"/>
              <w:right w:val="outset" w:color="auto" w:sz="6" w:space="0"/>
            </w:tcBorders>
          </w:tcPr>
          <w:p w14:paraId="63AA294F">
            <w:pPr>
              <w:spacing w:after="160" w:line="259" w:lineRule="auto"/>
              <w:rPr>
                <w:rFonts w:hint="default"/>
                <w:lang w:val="pt-BR"/>
              </w:rPr>
            </w:pPr>
            <w:r>
              <w:rPr>
                <w:rFonts w:hint="default"/>
                <w:lang w:val="pt-BR"/>
              </w:rPr>
              <w:t>In</w:t>
            </w:r>
            <w:r>
              <w:t>dicador 1</w:t>
            </w:r>
            <w:r>
              <w:rPr>
                <w:rFonts w:hint="default"/>
                <w:lang w:val="pt-BR"/>
              </w:rPr>
              <w:t>0A Nacional</w:t>
            </w:r>
          </w:p>
          <w:p w14:paraId="4E4D79BE">
            <w:pPr>
              <w:spacing w:after="160" w:line="259" w:lineRule="auto"/>
              <w:rPr>
                <w:rFonts w:hint="default"/>
                <w:lang w:val="pt-BR"/>
              </w:rPr>
            </w:pPr>
          </w:p>
          <w:p w14:paraId="25AECEFE">
            <w:pPr>
              <w:spacing w:after="160" w:line="259" w:lineRule="auto"/>
              <w:rPr>
                <w:rFonts w:hint="default"/>
                <w:lang w:val="pt-BR"/>
              </w:rPr>
            </w:pPr>
            <w:r>
              <w:rPr>
                <w:rFonts w:hint="default"/>
                <w:lang w:val="pt-BR"/>
              </w:rPr>
              <w:t>Indicador 10A Proposto</w:t>
            </w:r>
          </w:p>
        </w:tc>
        <w:tc>
          <w:tcPr>
            <w:tcW w:w="6999" w:type="dxa"/>
            <w:tcBorders>
              <w:top w:val="outset" w:color="auto" w:sz="6" w:space="0"/>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6969"/>
            </w:tblGrid>
            <w:tr w14:paraId="235A7495">
              <w:tblPrEx>
                <w:tblCellMar>
                  <w:top w:w="15" w:type="dxa"/>
                  <w:left w:w="15" w:type="dxa"/>
                  <w:bottom w:w="15" w:type="dxa"/>
                  <w:right w:w="15" w:type="dxa"/>
                </w:tblCellMar>
              </w:tblPrEx>
              <w:tc>
                <w:tcPr>
                  <w:tcW w:w="0" w:type="auto"/>
                  <w:tcBorders>
                    <w:top w:val="nil"/>
                    <w:left w:val="nil"/>
                    <w:bottom w:val="nil"/>
                    <w:right w:val="nil"/>
                  </w:tcBorders>
                </w:tcPr>
                <w:p w14:paraId="024E97B1">
                  <w:pPr>
                    <w:rPr>
                      <w:rFonts w:hint="default"/>
                      <w:lang w:val="pt-BR"/>
                    </w:rPr>
                  </w:pPr>
                  <w:r>
                    <w:t>Percentual de matrículas da educação de jovens e adultos na forma integrada à educação profissional</w:t>
                  </w:r>
                  <w:r>
                    <w:rPr>
                      <w:rFonts w:hint="default"/>
                      <w:lang w:val="pt-BR"/>
                    </w:rPr>
                    <w:t>.</w:t>
                  </w:r>
                </w:p>
              </w:tc>
            </w:tr>
            <w:tr w14:paraId="50524C90">
              <w:tblPrEx>
                <w:tblCellMar>
                  <w:top w:w="15" w:type="dxa"/>
                  <w:left w:w="15" w:type="dxa"/>
                  <w:bottom w:w="15" w:type="dxa"/>
                  <w:right w:w="15" w:type="dxa"/>
                </w:tblCellMar>
              </w:tblPrEx>
              <w:tc>
                <w:tcPr>
                  <w:tcW w:w="0" w:type="auto"/>
                  <w:tcBorders>
                    <w:top w:val="nil"/>
                    <w:left w:val="nil"/>
                    <w:bottom w:val="nil"/>
                    <w:right w:val="nil"/>
                  </w:tcBorders>
                </w:tcPr>
                <w:p w14:paraId="58F83D13">
                  <w:pPr>
                    <w:rPr>
                      <w:rFonts w:hint="default"/>
                      <w:lang w:val="pt-BR"/>
                    </w:rPr>
                  </w:pPr>
                  <w:r>
                    <w:rPr>
                      <w:rFonts w:hint="default"/>
                      <w:lang w:val="pt-BR"/>
                    </w:rPr>
                    <w:t>Replicar Nacional.</w:t>
                  </w:r>
                </w:p>
              </w:tc>
            </w:tr>
          </w:tbl>
          <w:p w14:paraId="12CCEBFC">
            <w:pPr>
              <w:spacing w:after="160" w:line="259" w:lineRule="auto"/>
            </w:pPr>
          </w:p>
        </w:tc>
      </w:tr>
      <w:tr w14:paraId="752A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37" w:type="dxa"/>
            <w:tcBorders>
              <w:top w:val="nil"/>
              <w:left w:val="outset" w:color="auto" w:sz="6" w:space="0"/>
              <w:bottom w:val="outset" w:color="auto" w:sz="6" w:space="0"/>
              <w:right w:val="outset" w:color="auto" w:sz="6" w:space="0"/>
            </w:tcBorders>
          </w:tcPr>
          <w:p w14:paraId="1C486590">
            <w:pPr>
              <w:spacing w:after="160" w:line="259" w:lineRule="auto"/>
            </w:pPr>
            <w:r>
              <w:t>Fórmula de cálculo</w:t>
            </w:r>
          </w:p>
        </w:tc>
        <w:tc>
          <w:tcPr>
            <w:tcW w:w="6999"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225"/>
              <w:gridCol w:w="6744"/>
            </w:tblGrid>
            <w:tr w14:paraId="319C98E4">
              <w:tblPrEx>
                <w:tblCellMar>
                  <w:top w:w="15" w:type="dxa"/>
                  <w:left w:w="15" w:type="dxa"/>
                  <w:bottom w:w="15" w:type="dxa"/>
                  <w:right w:w="15" w:type="dxa"/>
                </w:tblCellMar>
              </w:tblPrEx>
              <w:tc>
                <w:tcPr>
                  <w:tcW w:w="225" w:type="dxa"/>
                  <w:tcBorders>
                    <w:top w:val="nil"/>
                    <w:left w:val="nil"/>
                    <w:bottom w:val="nil"/>
                    <w:right w:val="nil"/>
                  </w:tcBorders>
                </w:tcPr>
                <w:p w14:paraId="40E363A9">
                  <w:pPr>
                    <w:jc w:val="both"/>
                  </w:pPr>
                </w:p>
                <w:p w14:paraId="3E5FB1C1">
                  <w:pPr>
                    <w:jc w:val="both"/>
                  </w:pPr>
                </w:p>
              </w:tc>
              <w:tc>
                <w:tcPr>
                  <w:tcW w:w="0" w:type="auto"/>
                  <w:tcBorders>
                    <w:top w:val="nil"/>
                    <w:left w:val="nil"/>
                    <w:bottom w:val="nil"/>
                    <w:right w:val="nil"/>
                  </w:tcBorders>
                </w:tcPr>
                <w:p w14:paraId="2B9484B2">
                  <w:pPr>
                    <w:jc w:val="both"/>
                  </w:pPr>
                  <w:r>
                    <w:t>(Matrículas da Educação de Jovens e Adultos de nível fundamental e médio integrada à Educação Profissional / Total de matrículas da Educação de Jovens e Adultos de nível fundamental e médio) x 100</w:t>
                  </w:r>
                </w:p>
              </w:tc>
            </w:tr>
          </w:tbl>
          <w:p w14:paraId="2851F790">
            <w:pPr>
              <w:spacing w:after="160" w:line="259" w:lineRule="auto"/>
              <w:jc w:val="both"/>
            </w:pPr>
          </w:p>
        </w:tc>
      </w:tr>
      <w:tr w14:paraId="1B88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37" w:type="dxa"/>
            <w:tcBorders>
              <w:top w:val="nil"/>
              <w:left w:val="outset" w:color="auto" w:sz="6" w:space="0"/>
              <w:bottom w:val="outset" w:color="auto" w:sz="6" w:space="0"/>
              <w:right w:val="outset" w:color="auto" w:sz="6" w:space="0"/>
            </w:tcBorders>
          </w:tcPr>
          <w:p w14:paraId="588751FB">
            <w:pPr>
              <w:spacing w:after="160" w:line="259" w:lineRule="auto"/>
            </w:pPr>
            <w:r>
              <w:t>Comentário</w:t>
            </w:r>
          </w:p>
        </w:tc>
        <w:tc>
          <w:tcPr>
            <w:tcW w:w="6999"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36"/>
              <w:gridCol w:w="6933"/>
            </w:tblGrid>
            <w:tr w14:paraId="2223980F">
              <w:tc>
                <w:tcPr>
                  <w:tcW w:w="0" w:type="auto"/>
                  <w:tcBorders>
                    <w:top w:val="nil"/>
                    <w:left w:val="nil"/>
                    <w:bottom w:val="nil"/>
                    <w:right w:val="nil"/>
                  </w:tcBorders>
                </w:tcPr>
                <w:p w14:paraId="104ACE9F"/>
                <w:p w14:paraId="329E0306"/>
              </w:tc>
              <w:tc>
                <w:tcPr>
                  <w:tcW w:w="0" w:type="auto"/>
                  <w:tcBorders>
                    <w:top w:val="nil"/>
                    <w:left w:val="nil"/>
                    <w:bottom w:val="nil"/>
                    <w:right w:val="nil"/>
                  </w:tcBorders>
                </w:tcPr>
                <w:p w14:paraId="1DCF9440">
                  <w:pPr>
                    <w:jc w:val="both"/>
                  </w:pPr>
                  <w:r>
                    <w:t xml:space="preserve">Calculado conforme Relatório do 3º Ciclo de Monitoramento das Metas do Plano Nacional de Educação - 2020 (INEP). </w:t>
                  </w:r>
                </w:p>
              </w:tc>
            </w:tr>
          </w:tbl>
          <w:p w14:paraId="7CCE5063">
            <w:pPr>
              <w:spacing w:after="160" w:line="259" w:lineRule="auto"/>
            </w:pPr>
          </w:p>
        </w:tc>
      </w:tr>
    </w:tbl>
    <w:p w14:paraId="2ACC4779">
      <w:r>
        <w:t xml:space="preserv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1264"/>
        <w:gridCol w:w="1264"/>
        <w:gridCol w:w="1264"/>
        <w:gridCol w:w="1264"/>
        <w:gridCol w:w="1224"/>
        <w:gridCol w:w="400"/>
        <w:gridCol w:w="770"/>
        <w:gridCol w:w="1049"/>
        <w:gridCol w:w="1049"/>
        <w:gridCol w:w="981"/>
        <w:gridCol w:w="982"/>
      </w:tblGrid>
      <w:tr w14:paraId="07F5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9" w:type="dxa"/>
            <w:gridSpan w:val="12"/>
          </w:tcPr>
          <w:p w14:paraId="5843F03A">
            <w:pPr>
              <w:jc w:val="center"/>
              <w:rPr>
                <w:rFonts w:hint="default"/>
                <w:b/>
                <w:bCs/>
                <w:vertAlign w:val="baseline"/>
                <w:lang w:val="pt-BR"/>
              </w:rPr>
            </w:pPr>
            <w:r>
              <w:rPr>
                <w:rFonts w:hint="default"/>
                <w:b/>
                <w:bCs/>
                <w:vertAlign w:val="baseline"/>
                <w:lang w:val="pt-BR"/>
              </w:rPr>
              <w:t>Dados/Indicadores: Indicador 10A</w:t>
            </w:r>
          </w:p>
        </w:tc>
      </w:tr>
      <w:tr w14:paraId="05CE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18" w:type="dxa"/>
            <w:tcBorders>
              <w:top w:val="outset" w:color="auto" w:sz="6" w:space="0"/>
              <w:left w:val="outset" w:color="auto" w:sz="6" w:space="0"/>
              <w:bottom w:val="outset" w:color="auto" w:sz="6" w:space="0"/>
              <w:right w:val="outset" w:color="auto" w:sz="6" w:space="0"/>
            </w:tcBorders>
          </w:tcPr>
          <w:p w14:paraId="61817874">
            <w:pPr>
              <w:spacing w:after="160" w:line="259" w:lineRule="auto"/>
              <w:rPr>
                <w:rFonts w:hint="default"/>
                <w:lang w:val="pt-BR"/>
              </w:rPr>
            </w:pPr>
            <w:r>
              <w:rPr>
                <w:rFonts w:hint="default"/>
                <w:lang w:val="pt-BR"/>
              </w:rPr>
              <w:t>Ano</w:t>
            </w:r>
          </w:p>
        </w:tc>
        <w:tc>
          <w:tcPr>
            <w:tcW w:w="1264" w:type="dxa"/>
            <w:tcBorders>
              <w:top w:val="outset" w:color="auto" w:sz="6" w:space="0"/>
              <w:left w:val="outset" w:color="auto" w:sz="6" w:space="0"/>
              <w:bottom w:val="outset" w:color="auto" w:sz="6" w:space="0"/>
              <w:right w:val="outset" w:color="auto" w:sz="6" w:space="0"/>
            </w:tcBorders>
          </w:tcPr>
          <w:p w14:paraId="08D9DB03">
            <w:pPr>
              <w:spacing w:after="160" w:line="259" w:lineRule="auto"/>
            </w:pPr>
            <w:r>
              <w:t>2014</w:t>
            </w:r>
          </w:p>
        </w:tc>
        <w:tc>
          <w:tcPr>
            <w:tcW w:w="1264" w:type="dxa"/>
            <w:tcBorders>
              <w:top w:val="outset" w:color="auto" w:sz="6" w:space="0"/>
              <w:left w:val="outset" w:color="auto" w:sz="6" w:space="0"/>
              <w:bottom w:val="outset" w:color="auto" w:sz="6" w:space="0"/>
              <w:right w:val="outset" w:color="auto" w:sz="6" w:space="0"/>
            </w:tcBorders>
          </w:tcPr>
          <w:p w14:paraId="15B24060">
            <w:pPr>
              <w:spacing w:after="160" w:line="259" w:lineRule="auto"/>
            </w:pPr>
            <w:r>
              <w:t>2015</w:t>
            </w:r>
          </w:p>
        </w:tc>
        <w:tc>
          <w:tcPr>
            <w:tcW w:w="1264" w:type="dxa"/>
            <w:tcBorders>
              <w:top w:val="outset" w:color="auto" w:sz="6" w:space="0"/>
              <w:left w:val="outset" w:color="auto" w:sz="6" w:space="0"/>
              <w:bottom w:val="outset" w:color="auto" w:sz="6" w:space="0"/>
              <w:right w:val="outset" w:color="auto" w:sz="6" w:space="0"/>
            </w:tcBorders>
          </w:tcPr>
          <w:p w14:paraId="63186C83">
            <w:pPr>
              <w:spacing w:after="160" w:line="259" w:lineRule="auto"/>
            </w:pPr>
            <w:r>
              <w:t>2016</w:t>
            </w:r>
          </w:p>
        </w:tc>
        <w:tc>
          <w:tcPr>
            <w:tcW w:w="1264" w:type="dxa"/>
            <w:tcBorders>
              <w:top w:val="outset" w:color="auto" w:sz="6" w:space="0"/>
              <w:left w:val="outset" w:color="auto" w:sz="6" w:space="0"/>
              <w:bottom w:val="outset" w:color="auto" w:sz="6" w:space="0"/>
              <w:right w:val="outset" w:color="auto" w:sz="6" w:space="0"/>
            </w:tcBorders>
          </w:tcPr>
          <w:p w14:paraId="5D22D9C2">
            <w:pPr>
              <w:spacing w:after="160" w:line="259" w:lineRule="auto"/>
            </w:pPr>
            <w:r>
              <w:t>2017</w:t>
            </w:r>
          </w:p>
        </w:tc>
        <w:tc>
          <w:tcPr>
            <w:tcW w:w="1224" w:type="dxa"/>
            <w:tcBorders>
              <w:top w:val="outset" w:color="auto" w:sz="6" w:space="0"/>
              <w:left w:val="outset" w:color="auto" w:sz="6" w:space="0"/>
              <w:bottom w:val="outset" w:color="auto" w:sz="6" w:space="0"/>
              <w:right w:val="outset" w:color="auto" w:sz="6" w:space="0"/>
            </w:tcBorders>
          </w:tcPr>
          <w:p w14:paraId="49B41AD0">
            <w:pPr>
              <w:spacing w:after="160" w:line="259" w:lineRule="auto"/>
            </w:pPr>
            <w:r>
              <w:t>2018</w:t>
            </w:r>
          </w:p>
        </w:tc>
        <w:tc>
          <w:tcPr>
            <w:tcW w:w="1170" w:type="dxa"/>
            <w:gridSpan w:val="2"/>
            <w:tcBorders>
              <w:top w:val="outset" w:color="auto" w:sz="6" w:space="0"/>
              <w:left w:val="outset" w:color="auto" w:sz="6" w:space="0"/>
              <w:bottom w:val="outset" w:color="auto" w:sz="6" w:space="0"/>
              <w:right w:val="outset" w:color="auto" w:sz="6" w:space="0"/>
            </w:tcBorders>
          </w:tcPr>
          <w:p w14:paraId="561545BA">
            <w:pPr>
              <w:spacing w:after="160" w:line="259" w:lineRule="auto"/>
            </w:pPr>
            <w:r>
              <w:t>2019</w:t>
            </w:r>
          </w:p>
        </w:tc>
        <w:tc>
          <w:tcPr>
            <w:tcW w:w="1049" w:type="dxa"/>
            <w:tcBorders>
              <w:top w:val="outset" w:color="auto" w:sz="6" w:space="0"/>
              <w:left w:val="outset" w:color="auto" w:sz="6" w:space="0"/>
              <w:bottom w:val="outset" w:color="auto" w:sz="6" w:space="0"/>
              <w:right w:val="outset" w:color="auto" w:sz="6" w:space="0"/>
            </w:tcBorders>
          </w:tcPr>
          <w:p w14:paraId="70DCC5F9">
            <w:pPr>
              <w:spacing w:after="160" w:line="259" w:lineRule="auto"/>
            </w:pPr>
            <w:r>
              <w:t>2020</w:t>
            </w:r>
          </w:p>
        </w:tc>
        <w:tc>
          <w:tcPr>
            <w:tcW w:w="1049" w:type="dxa"/>
            <w:tcBorders>
              <w:top w:val="outset" w:color="auto" w:sz="6" w:space="0"/>
              <w:left w:val="outset" w:color="auto" w:sz="6" w:space="0"/>
              <w:bottom w:val="outset" w:color="auto" w:sz="6" w:space="0"/>
              <w:right w:val="outset" w:color="auto" w:sz="6" w:space="0"/>
            </w:tcBorders>
          </w:tcPr>
          <w:p w14:paraId="6575450C">
            <w:pPr>
              <w:spacing w:after="160" w:line="259" w:lineRule="auto"/>
            </w:pPr>
            <w:r>
              <w:t>2021</w:t>
            </w:r>
          </w:p>
        </w:tc>
        <w:tc>
          <w:tcPr>
            <w:tcW w:w="981" w:type="dxa"/>
            <w:tcBorders>
              <w:top w:val="outset" w:color="auto" w:sz="6" w:space="0"/>
              <w:left w:val="outset" w:color="auto" w:sz="6" w:space="0"/>
              <w:bottom w:val="outset" w:color="auto" w:sz="6" w:space="0"/>
              <w:right w:val="outset" w:color="auto" w:sz="6" w:space="0"/>
            </w:tcBorders>
          </w:tcPr>
          <w:p w14:paraId="3D3DB805">
            <w:pPr>
              <w:spacing w:after="160" w:line="259" w:lineRule="auto"/>
            </w:pPr>
            <w:r>
              <w:t>2022</w:t>
            </w:r>
          </w:p>
        </w:tc>
        <w:tc>
          <w:tcPr>
            <w:tcW w:w="981" w:type="dxa"/>
            <w:tcBorders>
              <w:top w:val="outset" w:color="auto" w:sz="6" w:space="0"/>
              <w:left w:val="outset" w:color="auto" w:sz="6" w:space="0"/>
              <w:bottom w:val="outset" w:color="auto" w:sz="6" w:space="0"/>
              <w:right w:val="outset" w:color="auto" w:sz="6" w:space="0"/>
            </w:tcBorders>
          </w:tcPr>
          <w:p w14:paraId="31CACB96">
            <w:pPr>
              <w:spacing w:after="160" w:line="259" w:lineRule="auto"/>
              <w:rPr>
                <w:rFonts w:hint="default"/>
                <w:lang w:val="pt-BR"/>
              </w:rPr>
            </w:pPr>
            <w:r>
              <w:rPr>
                <w:rFonts w:hint="default"/>
                <w:lang w:val="pt-BR"/>
              </w:rPr>
              <w:t>2023</w:t>
            </w:r>
          </w:p>
        </w:tc>
      </w:tr>
      <w:tr w14:paraId="49F9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18" w:type="dxa"/>
            <w:tcBorders>
              <w:top w:val="nil"/>
              <w:left w:val="outset" w:color="auto" w:sz="6" w:space="0"/>
              <w:bottom w:val="outset" w:color="auto" w:sz="6" w:space="0"/>
              <w:right w:val="outset" w:color="auto" w:sz="6" w:space="0"/>
            </w:tcBorders>
          </w:tcPr>
          <w:p w14:paraId="62983F51">
            <w:pPr>
              <w:spacing w:after="160" w:line="259" w:lineRule="auto"/>
            </w:pPr>
            <w:r>
              <w:t xml:space="preserve">Indicador </w:t>
            </w:r>
          </w:p>
        </w:tc>
        <w:tc>
          <w:tcPr>
            <w:tcW w:w="1264" w:type="dxa"/>
            <w:tcBorders>
              <w:top w:val="nil"/>
              <w:left w:val="outset" w:color="auto" w:sz="6" w:space="0"/>
              <w:bottom w:val="outset" w:color="auto" w:sz="6" w:space="0"/>
              <w:right w:val="outset" w:color="auto" w:sz="6" w:space="0"/>
            </w:tcBorders>
          </w:tcPr>
          <w:p w14:paraId="0A5DDF28">
            <w:pPr>
              <w:spacing w:after="160" w:line="259" w:lineRule="auto"/>
            </w:pPr>
            <w:r>
              <w:t>0,0%</w:t>
            </w:r>
          </w:p>
        </w:tc>
        <w:tc>
          <w:tcPr>
            <w:tcW w:w="1264" w:type="dxa"/>
            <w:tcBorders>
              <w:top w:val="nil"/>
              <w:left w:val="outset" w:color="auto" w:sz="6" w:space="0"/>
              <w:bottom w:val="outset" w:color="auto" w:sz="6" w:space="0"/>
              <w:right w:val="outset" w:color="auto" w:sz="6" w:space="0"/>
            </w:tcBorders>
          </w:tcPr>
          <w:p w14:paraId="41AFD75A">
            <w:pPr>
              <w:spacing w:after="160" w:line="259" w:lineRule="auto"/>
            </w:pPr>
            <w:r>
              <w:t>0,0%</w:t>
            </w:r>
          </w:p>
        </w:tc>
        <w:tc>
          <w:tcPr>
            <w:tcW w:w="1264" w:type="dxa"/>
            <w:tcBorders>
              <w:top w:val="nil"/>
              <w:left w:val="outset" w:color="auto" w:sz="6" w:space="0"/>
              <w:bottom w:val="outset" w:color="auto" w:sz="6" w:space="0"/>
              <w:right w:val="outset" w:color="auto" w:sz="6" w:space="0"/>
            </w:tcBorders>
          </w:tcPr>
          <w:p w14:paraId="3C52306E">
            <w:pPr>
              <w:spacing w:after="160" w:line="259" w:lineRule="auto"/>
            </w:pPr>
            <w:r>
              <w:t>0,0%</w:t>
            </w:r>
          </w:p>
        </w:tc>
        <w:tc>
          <w:tcPr>
            <w:tcW w:w="1264" w:type="dxa"/>
            <w:tcBorders>
              <w:top w:val="nil"/>
              <w:left w:val="outset" w:color="auto" w:sz="6" w:space="0"/>
              <w:bottom w:val="outset" w:color="auto" w:sz="6" w:space="0"/>
              <w:right w:val="outset" w:color="auto" w:sz="6" w:space="0"/>
            </w:tcBorders>
          </w:tcPr>
          <w:p w14:paraId="718A152D">
            <w:pPr>
              <w:spacing w:after="160" w:line="259" w:lineRule="auto"/>
            </w:pPr>
            <w:r>
              <w:t>0,0%</w:t>
            </w:r>
          </w:p>
        </w:tc>
        <w:tc>
          <w:tcPr>
            <w:tcW w:w="1224" w:type="dxa"/>
            <w:tcBorders>
              <w:top w:val="nil"/>
              <w:left w:val="outset" w:color="auto" w:sz="6" w:space="0"/>
              <w:bottom w:val="outset" w:color="auto" w:sz="6" w:space="0"/>
              <w:right w:val="outset" w:color="auto" w:sz="6" w:space="0"/>
            </w:tcBorders>
          </w:tcPr>
          <w:p w14:paraId="6BD04027">
            <w:pPr>
              <w:spacing w:after="160" w:line="259" w:lineRule="auto"/>
            </w:pPr>
            <w:r>
              <w:t>0,0%</w:t>
            </w:r>
          </w:p>
        </w:tc>
        <w:tc>
          <w:tcPr>
            <w:tcW w:w="1170" w:type="dxa"/>
            <w:gridSpan w:val="2"/>
            <w:tcBorders>
              <w:top w:val="nil"/>
              <w:left w:val="outset" w:color="auto" w:sz="6" w:space="0"/>
              <w:bottom w:val="outset" w:color="auto" w:sz="6" w:space="0"/>
              <w:right w:val="outset" w:color="auto" w:sz="6" w:space="0"/>
            </w:tcBorders>
          </w:tcPr>
          <w:p w14:paraId="7D3BE7BD">
            <w:pPr>
              <w:spacing w:after="160" w:line="259" w:lineRule="auto"/>
            </w:pPr>
            <w:r>
              <w:t>0,0%</w:t>
            </w:r>
          </w:p>
        </w:tc>
        <w:tc>
          <w:tcPr>
            <w:tcW w:w="1049" w:type="dxa"/>
            <w:tcBorders>
              <w:top w:val="nil"/>
              <w:left w:val="outset" w:color="auto" w:sz="6" w:space="0"/>
              <w:bottom w:val="outset" w:color="auto" w:sz="6" w:space="0"/>
              <w:right w:val="outset" w:color="auto" w:sz="6" w:space="0"/>
            </w:tcBorders>
          </w:tcPr>
          <w:p w14:paraId="0CC70955">
            <w:pPr>
              <w:spacing w:after="160" w:line="259" w:lineRule="auto"/>
            </w:pPr>
            <w:r>
              <w:t>0,0%</w:t>
            </w:r>
          </w:p>
        </w:tc>
        <w:tc>
          <w:tcPr>
            <w:tcW w:w="1049" w:type="dxa"/>
            <w:tcBorders>
              <w:top w:val="nil"/>
              <w:left w:val="outset" w:color="auto" w:sz="6" w:space="0"/>
              <w:bottom w:val="outset" w:color="auto" w:sz="6" w:space="0"/>
              <w:right w:val="outset" w:color="auto" w:sz="6" w:space="0"/>
            </w:tcBorders>
            <w:shd w:val="clear" w:color="auto" w:fill="FFFFFF"/>
          </w:tcPr>
          <w:p w14:paraId="3F1AE497">
            <w:pPr>
              <w:spacing w:after="160" w:line="259" w:lineRule="auto"/>
            </w:pPr>
            <w:r>
              <w:t>0,0%</w:t>
            </w:r>
          </w:p>
        </w:tc>
        <w:tc>
          <w:tcPr>
            <w:tcW w:w="981" w:type="dxa"/>
            <w:tcBorders>
              <w:top w:val="nil"/>
              <w:left w:val="outset" w:color="auto" w:sz="6" w:space="0"/>
              <w:bottom w:val="outset" w:color="auto" w:sz="6" w:space="0"/>
              <w:right w:val="outset" w:color="auto" w:sz="6" w:space="0"/>
            </w:tcBorders>
            <w:shd w:val="clear" w:color="auto" w:fill="FFFFFF"/>
          </w:tcPr>
          <w:p w14:paraId="6932B08F">
            <w:pPr>
              <w:spacing w:after="160" w:line="259" w:lineRule="auto"/>
            </w:pPr>
            <w:r>
              <w:t>0,0%</w:t>
            </w:r>
          </w:p>
        </w:tc>
        <w:tc>
          <w:tcPr>
            <w:tcW w:w="981" w:type="dxa"/>
            <w:tcBorders>
              <w:top w:val="nil"/>
              <w:left w:val="outset" w:color="auto" w:sz="6" w:space="0"/>
              <w:bottom w:val="outset" w:color="auto" w:sz="6" w:space="0"/>
              <w:right w:val="outset" w:color="auto" w:sz="6" w:space="0"/>
            </w:tcBorders>
            <w:shd w:val="clear" w:color="auto" w:fill="FFFFFF"/>
          </w:tcPr>
          <w:p w14:paraId="29FA1A29">
            <w:pPr>
              <w:spacing w:after="160" w:line="259" w:lineRule="auto"/>
              <w:rPr>
                <w:rFonts w:hint="default"/>
                <w:lang w:val="pt-BR"/>
              </w:rPr>
            </w:pPr>
            <w:r>
              <w:rPr>
                <w:rFonts w:hint="default"/>
                <w:lang w:val="pt-BR"/>
              </w:rPr>
              <w:t>0,0%</w:t>
            </w:r>
          </w:p>
        </w:tc>
      </w:tr>
      <w:tr w14:paraId="1019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8198" w:type="dxa"/>
            <w:gridSpan w:val="7"/>
            <w:tcBorders>
              <w:top w:val="nil"/>
              <w:left w:val="nil"/>
              <w:bottom w:val="nil"/>
              <w:right w:val="nil"/>
            </w:tcBorders>
          </w:tcPr>
          <w:p w14:paraId="35FA0813">
            <w:pPr>
              <w:spacing w:after="160" w:line="259" w:lineRule="auto"/>
            </w:pPr>
            <w:r>
              <w:t>Fonte: INEP - Censo Escolar da Educação Básica</w:t>
            </w:r>
          </w:p>
        </w:tc>
        <w:tc>
          <w:tcPr>
            <w:tcW w:w="770" w:type="dxa"/>
            <w:vAlign w:val="center"/>
          </w:tcPr>
          <w:p w14:paraId="5EE5A8B3">
            <w:pPr>
              <w:spacing w:after="160" w:line="259" w:lineRule="auto"/>
            </w:pPr>
          </w:p>
        </w:tc>
        <w:tc>
          <w:tcPr>
            <w:tcW w:w="1049" w:type="dxa"/>
            <w:vAlign w:val="center"/>
          </w:tcPr>
          <w:p w14:paraId="690337DD">
            <w:pPr>
              <w:spacing w:after="160" w:line="259" w:lineRule="auto"/>
            </w:pPr>
          </w:p>
        </w:tc>
        <w:tc>
          <w:tcPr>
            <w:tcW w:w="1049" w:type="dxa"/>
            <w:vAlign w:val="center"/>
          </w:tcPr>
          <w:p w14:paraId="12BC16E0">
            <w:pPr>
              <w:spacing w:after="160" w:line="259" w:lineRule="auto"/>
            </w:pPr>
          </w:p>
        </w:tc>
        <w:tc>
          <w:tcPr>
            <w:tcW w:w="981" w:type="dxa"/>
            <w:vAlign w:val="center"/>
          </w:tcPr>
          <w:p w14:paraId="78A3C584">
            <w:pPr>
              <w:spacing w:after="160" w:line="259" w:lineRule="auto"/>
            </w:pPr>
          </w:p>
        </w:tc>
        <w:tc>
          <w:tcPr>
            <w:tcW w:w="981" w:type="dxa"/>
            <w:vAlign w:val="center"/>
          </w:tcPr>
          <w:p w14:paraId="20226CAF">
            <w:pPr>
              <w:spacing w:after="160" w:line="259" w:lineRule="auto"/>
            </w:pPr>
          </w:p>
        </w:tc>
      </w:tr>
    </w:tbl>
    <w:p w14:paraId="47486B9B">
      <w:pPr>
        <w:rPr>
          <w:b/>
          <w:bCs/>
        </w:rPr>
      </w:pPr>
      <w:r>
        <w:rPr>
          <w:b/>
          <w:bCs/>
        </w:rPr>
        <w:t xml:space="preserve"> </w:t>
      </w:r>
    </w:p>
    <w:p w14:paraId="046C332E">
      <w:pPr>
        <w:spacing w:line="360" w:lineRule="auto"/>
        <w:ind w:firstLine="708" w:firstLineChars="0"/>
        <w:jc w:val="both"/>
      </w:pPr>
      <w:r>
        <w:t xml:space="preserve">Sabemos que a Educação de jovens e adultos integrada à educação profissional é de suma importância, porém, atualmente, </w:t>
      </w:r>
      <w:r>
        <w:rPr>
          <w:rFonts w:hint="default"/>
          <w:lang w:val="pt-BR"/>
        </w:rPr>
        <w:t>o Colégio Estadual</w:t>
      </w:r>
      <w:r>
        <w:t xml:space="preserve"> oferece essa modalidade de ensino. Mas, sempre divulga matrículas para o EJA- Ensino de Jovens e Adultos para atender àqueles que não tiveram acesso ao </w:t>
      </w:r>
      <w:r>
        <w:rPr>
          <w:bCs/>
        </w:rPr>
        <w:t>ensino</w:t>
      </w:r>
      <w:r>
        <w:t xml:space="preserve"> fundamental e médio na idade regular. </w:t>
      </w:r>
    </w:p>
    <w:p w14:paraId="4BCA5599">
      <w:pPr>
        <w:spacing w:line="360" w:lineRule="auto"/>
        <w:ind w:firstLine="708" w:firstLineChars="0"/>
        <w:jc w:val="both"/>
      </w:pPr>
      <w:r>
        <w:t>Para a Educação de Jovens e Adultos Integrada à Educação Profissional é necessário aderir ao PROEJA - Programa Nacional de Integração da Educação Profissional com a Educação Básica. (Competência de nível estadual).</w:t>
      </w:r>
    </w:p>
    <w:p w14:paraId="7CAD6A36">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5"/>
        <w:gridCol w:w="7111"/>
      </w:tblGrid>
      <w:tr w14:paraId="1546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475A2D6D">
            <w:pPr>
              <w:pStyle w:val="16"/>
              <w:numPr>
                <w:ilvl w:val="0"/>
                <w:numId w:val="0"/>
              </w:numPr>
              <w:jc w:val="center"/>
              <w:rPr>
                <w:rFonts w:hint="default"/>
                <w:b/>
                <w:vertAlign w:val="baseline"/>
                <w:lang w:val="pt-BR"/>
              </w:rPr>
            </w:pPr>
            <w:r>
              <w:rPr>
                <w:rFonts w:hint="default"/>
                <w:b/>
                <w:vertAlign w:val="baseline"/>
                <w:lang w:val="pt-BR"/>
              </w:rPr>
              <w:t>Ficha metodológica para o indicador 11A</w:t>
            </w:r>
            <w:r>
              <w:rPr>
                <w:rFonts w:hint="default"/>
                <w:b/>
                <w:bCs w:val="0"/>
                <w:vertAlign w:val="baseline"/>
                <w:lang w:val="pt-BR"/>
              </w:rPr>
              <w:t xml:space="preserve"> </w:t>
            </w:r>
            <w:r>
              <w:rPr>
                <w:rFonts w:hint="default"/>
                <w:b/>
                <w:vertAlign w:val="baseline"/>
                <w:lang w:val="pt-BR"/>
              </w:rPr>
              <w:t>- base PNE</w:t>
            </w:r>
          </w:p>
        </w:tc>
      </w:tr>
      <w:tr w14:paraId="5B38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outset" w:color="auto" w:sz="6" w:space="0"/>
              <w:left w:val="outset" w:color="auto" w:sz="6" w:space="0"/>
              <w:bottom w:val="outset" w:color="auto" w:sz="6" w:space="0"/>
              <w:right w:val="outset" w:color="auto" w:sz="6" w:space="0"/>
            </w:tcBorders>
          </w:tcPr>
          <w:p w14:paraId="59E70A5C">
            <w:pPr>
              <w:spacing w:after="160" w:line="259" w:lineRule="auto"/>
              <w:rPr>
                <w:b/>
              </w:rPr>
            </w:pPr>
            <w:r>
              <w:rPr>
                <w:b/>
              </w:rPr>
              <w:t>Meta</w:t>
            </w:r>
          </w:p>
        </w:tc>
        <w:tc>
          <w:tcPr>
            <w:tcW w:w="7111" w:type="dxa"/>
            <w:tcBorders>
              <w:top w:val="outset" w:color="auto" w:sz="6" w:space="0"/>
              <w:left w:val="outset" w:color="auto" w:sz="6" w:space="0"/>
              <w:bottom w:val="outset" w:color="auto" w:sz="6" w:space="0"/>
              <w:right w:val="outset" w:color="auto" w:sz="6" w:space="0"/>
            </w:tcBorders>
          </w:tcPr>
          <w:p w14:paraId="1530B2B9">
            <w:pPr>
              <w:spacing w:after="160" w:line="259" w:lineRule="auto"/>
              <w:rPr>
                <w:b/>
              </w:rPr>
            </w:pPr>
            <w:r>
              <w:rPr>
                <w:b/>
              </w:rPr>
              <w:t>Texto da meta</w:t>
            </w:r>
          </w:p>
        </w:tc>
      </w:tr>
      <w:tr w14:paraId="479C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nil"/>
              <w:left w:val="outset" w:color="auto" w:sz="6" w:space="0"/>
              <w:bottom w:val="outset" w:color="auto" w:sz="6" w:space="0"/>
              <w:right w:val="outset" w:color="auto" w:sz="6" w:space="0"/>
            </w:tcBorders>
          </w:tcPr>
          <w:p w14:paraId="1DD45659">
            <w:pPr>
              <w:spacing w:after="160" w:line="259" w:lineRule="auto"/>
            </w:pPr>
            <w:r>
              <w:t>11</w:t>
            </w:r>
          </w:p>
        </w:tc>
        <w:tc>
          <w:tcPr>
            <w:tcW w:w="7111" w:type="dxa"/>
            <w:tcBorders>
              <w:top w:val="nil"/>
              <w:left w:val="outset" w:color="auto" w:sz="6" w:space="0"/>
              <w:bottom w:val="outset" w:color="auto" w:sz="6" w:space="0"/>
              <w:right w:val="outset" w:color="auto" w:sz="6" w:space="0"/>
            </w:tcBorders>
          </w:tcPr>
          <w:p w14:paraId="212F5185">
            <w:pPr>
              <w:spacing w:after="160" w:line="259" w:lineRule="auto"/>
              <w:jc w:val="both"/>
              <w:rPr>
                <w:rFonts w:hint="default"/>
                <w:lang w:val="pt-BR"/>
              </w:rPr>
            </w:pPr>
            <w:r>
              <w:rPr>
                <w:b/>
                <w:bCs/>
              </w:rPr>
              <w:t xml:space="preserve"> </w:t>
            </w:r>
            <w:r>
              <w:rPr>
                <w:rFonts w:hint="default"/>
                <w:bCs/>
                <w:lang w:val="pt-BR"/>
              </w:rPr>
              <w:t>Triplicar as matrículas da educação profissional técnica de nível médio, assegurando a qualidade da oferta e pelo menos 50% (cinquenta por cento) da expansão no segmento público.</w:t>
            </w:r>
          </w:p>
        </w:tc>
      </w:tr>
      <w:tr w14:paraId="2B05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outset" w:color="auto" w:sz="6" w:space="0"/>
              <w:left w:val="outset" w:color="auto" w:sz="6" w:space="0"/>
              <w:bottom w:val="outset" w:color="auto" w:sz="6" w:space="0"/>
              <w:right w:val="outset" w:color="auto" w:sz="6" w:space="0"/>
            </w:tcBorders>
          </w:tcPr>
          <w:p w14:paraId="3C18BE86">
            <w:pPr>
              <w:spacing w:after="160" w:line="259" w:lineRule="auto"/>
              <w:rPr>
                <w:rFonts w:hint="default"/>
                <w:lang w:val="pt-BR"/>
              </w:rPr>
            </w:pPr>
            <w:r>
              <w:t>Indicador 1</w:t>
            </w:r>
            <w:r>
              <w:rPr>
                <w:rFonts w:hint="default"/>
                <w:lang w:val="pt-BR"/>
              </w:rPr>
              <w:t>1A Nacional</w:t>
            </w:r>
          </w:p>
        </w:tc>
        <w:tc>
          <w:tcPr>
            <w:tcW w:w="7111" w:type="dxa"/>
            <w:tcBorders>
              <w:top w:val="outset" w:color="auto" w:sz="6" w:space="0"/>
              <w:left w:val="outset" w:color="auto" w:sz="6" w:space="0"/>
              <w:bottom w:val="outset" w:color="auto" w:sz="6" w:space="0"/>
              <w:right w:val="outset" w:color="auto" w:sz="6" w:space="0"/>
            </w:tcBorders>
          </w:tcPr>
          <w:p w14:paraId="07C5AF8C">
            <w:pPr>
              <w:spacing w:after="160" w:line="259" w:lineRule="auto"/>
              <w:jc w:val="both"/>
            </w:pPr>
            <w:r>
              <w:t>Número absoluto de matrículas em EPT de nível médio.</w:t>
            </w:r>
          </w:p>
        </w:tc>
      </w:tr>
      <w:tr w14:paraId="6E2B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outset" w:color="auto" w:sz="6" w:space="0"/>
              <w:left w:val="outset" w:color="auto" w:sz="6" w:space="0"/>
              <w:bottom w:val="outset" w:color="auto" w:sz="6" w:space="0"/>
              <w:right w:val="outset" w:color="auto" w:sz="6" w:space="0"/>
            </w:tcBorders>
          </w:tcPr>
          <w:p w14:paraId="6C17868A">
            <w:pPr>
              <w:spacing w:after="160" w:line="259" w:lineRule="auto"/>
              <w:rPr>
                <w:rFonts w:hint="default"/>
                <w:lang w:val="pt-BR"/>
              </w:rPr>
            </w:pPr>
            <w:r>
              <w:rPr>
                <w:rFonts w:hint="default"/>
                <w:lang w:val="pt-BR"/>
              </w:rPr>
              <w:t>Indicador 11A Proposto</w:t>
            </w:r>
          </w:p>
        </w:tc>
        <w:tc>
          <w:tcPr>
            <w:tcW w:w="7111" w:type="dxa"/>
            <w:tcBorders>
              <w:top w:val="outset" w:color="auto" w:sz="6" w:space="0"/>
              <w:left w:val="outset" w:color="auto" w:sz="6" w:space="0"/>
              <w:bottom w:val="outset" w:color="auto" w:sz="6" w:space="0"/>
              <w:right w:val="outset" w:color="auto" w:sz="6" w:space="0"/>
            </w:tcBorders>
          </w:tcPr>
          <w:p w14:paraId="497E28E2">
            <w:pPr>
              <w:spacing w:after="160" w:line="259" w:lineRule="auto"/>
              <w:jc w:val="both"/>
              <w:rPr>
                <w:rFonts w:hint="default"/>
                <w:lang w:val="pt-BR"/>
              </w:rPr>
            </w:pPr>
            <w:r>
              <w:rPr>
                <w:rFonts w:hint="default"/>
                <w:lang w:val="pt-BR"/>
              </w:rPr>
              <w:t>Replicar o nacional</w:t>
            </w:r>
          </w:p>
        </w:tc>
      </w:tr>
      <w:tr w14:paraId="59C8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nil"/>
              <w:left w:val="outset" w:color="auto" w:sz="6" w:space="0"/>
              <w:bottom w:val="outset" w:color="auto" w:sz="6" w:space="0"/>
              <w:right w:val="outset" w:color="auto" w:sz="6" w:space="0"/>
            </w:tcBorders>
          </w:tcPr>
          <w:p w14:paraId="3A27883F">
            <w:pPr>
              <w:spacing w:after="160" w:line="259" w:lineRule="auto"/>
            </w:pPr>
            <w:r>
              <w:t>Fórmula de cálculo</w:t>
            </w:r>
          </w:p>
        </w:tc>
        <w:tc>
          <w:tcPr>
            <w:tcW w:w="7111"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36"/>
              <w:gridCol w:w="6900"/>
            </w:tblGrid>
            <w:tr w14:paraId="02D8E56D">
              <w:tblPrEx>
                <w:tblCellMar>
                  <w:top w:w="15" w:type="dxa"/>
                  <w:left w:w="15" w:type="dxa"/>
                  <w:bottom w:w="15" w:type="dxa"/>
                  <w:right w:w="15" w:type="dxa"/>
                </w:tblCellMar>
              </w:tblPrEx>
              <w:tc>
                <w:tcPr>
                  <w:tcW w:w="0" w:type="auto"/>
                  <w:tcBorders>
                    <w:top w:val="nil"/>
                    <w:left w:val="nil"/>
                    <w:bottom w:val="nil"/>
                    <w:right w:val="nil"/>
                  </w:tcBorders>
                </w:tcPr>
                <w:p w14:paraId="041DDFB9">
                  <w:pPr>
                    <w:jc w:val="both"/>
                  </w:pPr>
                </w:p>
                <w:p w14:paraId="218C23D4">
                  <w:pPr>
                    <w:jc w:val="both"/>
                  </w:pPr>
                </w:p>
              </w:tc>
              <w:tc>
                <w:tcPr>
                  <w:tcW w:w="6900" w:type="dxa"/>
                  <w:tcBorders>
                    <w:top w:val="nil"/>
                    <w:left w:val="nil"/>
                    <w:bottom w:val="nil"/>
                    <w:right w:val="nil"/>
                  </w:tcBorders>
                </w:tcPr>
                <w:p w14:paraId="084B6B34">
                  <w:pPr>
                    <w:jc w:val="both"/>
                  </w:pPr>
                  <w:r>
                    <w:t>Total de Matrículas de Educação Profissional Técnica de Nível Médio</w:t>
                  </w:r>
                </w:p>
              </w:tc>
            </w:tr>
          </w:tbl>
          <w:p w14:paraId="69C7A1B3">
            <w:pPr>
              <w:spacing w:after="160" w:line="259" w:lineRule="auto"/>
              <w:jc w:val="both"/>
            </w:pPr>
          </w:p>
        </w:tc>
      </w:tr>
      <w:tr w14:paraId="5B22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nil"/>
              <w:left w:val="outset" w:color="auto" w:sz="6" w:space="0"/>
              <w:bottom w:val="outset" w:color="auto" w:sz="6" w:space="0"/>
              <w:right w:val="outset" w:color="auto" w:sz="6" w:space="0"/>
            </w:tcBorders>
          </w:tcPr>
          <w:p w14:paraId="3337D309">
            <w:pPr>
              <w:spacing w:after="160" w:line="259" w:lineRule="auto"/>
            </w:pPr>
            <w:r>
              <w:t>Comentário.</w:t>
            </w:r>
          </w:p>
          <w:p w14:paraId="4D9895A0">
            <w:pPr>
              <w:spacing w:after="160" w:line="259" w:lineRule="auto"/>
            </w:pPr>
          </w:p>
        </w:tc>
        <w:tc>
          <w:tcPr>
            <w:tcW w:w="7111"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7081"/>
            </w:tblGrid>
            <w:tr w14:paraId="642883B2">
              <w:tblPrEx>
                <w:tblCellMar>
                  <w:top w:w="15" w:type="dxa"/>
                  <w:left w:w="15" w:type="dxa"/>
                  <w:bottom w:w="15" w:type="dxa"/>
                  <w:right w:w="15" w:type="dxa"/>
                </w:tblCellMar>
              </w:tblPrEx>
              <w:tc>
                <w:tcPr>
                  <w:tcW w:w="0" w:type="auto"/>
                  <w:tcBorders>
                    <w:top w:val="nil"/>
                    <w:left w:val="nil"/>
                    <w:bottom w:val="nil"/>
                    <w:right w:val="nil"/>
                  </w:tcBorders>
                </w:tcPr>
                <w:p w14:paraId="6A7F214B">
                  <w:pPr>
                    <w:jc w:val="both"/>
                    <w:rPr>
                      <w:b/>
                    </w:rPr>
                  </w:pPr>
                  <w:r>
                    <w:t xml:space="preserve">Calculado conforme Relatório do 3º Ciclo de Monitoramento das Metas do Plano Nacional de Educação - 2020 (INEP). </w:t>
                  </w:r>
                </w:p>
              </w:tc>
            </w:tr>
          </w:tbl>
          <w:p w14:paraId="017C5013">
            <w:pPr>
              <w:spacing w:after="160" w:line="259" w:lineRule="auto"/>
            </w:pPr>
          </w:p>
        </w:tc>
      </w:tr>
    </w:tbl>
    <w:p w14:paraId="6F25CAE2">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072"/>
        <w:gridCol w:w="1026"/>
        <w:gridCol w:w="1049"/>
        <w:gridCol w:w="1133"/>
        <w:gridCol w:w="1054"/>
        <w:gridCol w:w="1017"/>
        <w:gridCol w:w="1551"/>
        <w:gridCol w:w="1309"/>
        <w:gridCol w:w="1091"/>
        <w:gridCol w:w="1555"/>
      </w:tblGrid>
      <w:tr w14:paraId="028E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0" w:type="dxa"/>
            <w:gridSpan w:val="11"/>
          </w:tcPr>
          <w:p w14:paraId="7261540D">
            <w:pPr>
              <w:jc w:val="center"/>
              <w:rPr>
                <w:rFonts w:hint="default"/>
                <w:b/>
                <w:bCs/>
                <w:vertAlign w:val="baseline"/>
                <w:lang w:val="pt-BR"/>
              </w:rPr>
            </w:pPr>
            <w:r>
              <w:rPr>
                <w:rFonts w:hint="default"/>
                <w:b/>
                <w:bCs/>
                <w:vertAlign w:val="baseline"/>
                <w:lang w:val="pt-BR"/>
              </w:rPr>
              <w:t>Dados/Indicadores: Indicador 11A</w:t>
            </w:r>
          </w:p>
        </w:tc>
      </w:tr>
      <w:tr w14:paraId="38BB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73" w:type="dxa"/>
            <w:tcBorders>
              <w:top w:val="outset" w:color="auto" w:sz="6" w:space="0"/>
              <w:left w:val="outset" w:color="auto" w:sz="6" w:space="0"/>
              <w:bottom w:val="outset" w:color="auto" w:sz="6" w:space="0"/>
              <w:right w:val="outset" w:color="auto" w:sz="6" w:space="0"/>
            </w:tcBorders>
          </w:tcPr>
          <w:p w14:paraId="6B4F9E0B">
            <w:pPr>
              <w:spacing w:after="160" w:line="259" w:lineRule="auto"/>
              <w:rPr>
                <w:rFonts w:hint="default"/>
                <w:lang w:val="pt-BR"/>
              </w:rPr>
            </w:pPr>
            <w:r>
              <w:rPr>
                <w:rFonts w:hint="default"/>
                <w:lang w:val="pt-BR"/>
              </w:rPr>
              <w:t>Ano</w:t>
            </w:r>
          </w:p>
        </w:tc>
        <w:tc>
          <w:tcPr>
            <w:tcW w:w="1072" w:type="dxa"/>
            <w:tcBorders>
              <w:top w:val="outset" w:color="auto" w:sz="6" w:space="0"/>
              <w:left w:val="outset" w:color="auto" w:sz="6" w:space="0"/>
              <w:bottom w:val="outset" w:color="auto" w:sz="6" w:space="0"/>
              <w:right w:val="outset" w:color="auto" w:sz="6" w:space="0"/>
            </w:tcBorders>
          </w:tcPr>
          <w:p w14:paraId="39D1C2E7">
            <w:pPr>
              <w:spacing w:after="160" w:line="259" w:lineRule="auto"/>
            </w:pPr>
            <w:r>
              <w:t>2014</w:t>
            </w:r>
          </w:p>
        </w:tc>
        <w:tc>
          <w:tcPr>
            <w:tcW w:w="1026" w:type="dxa"/>
            <w:tcBorders>
              <w:top w:val="outset" w:color="auto" w:sz="6" w:space="0"/>
              <w:left w:val="outset" w:color="auto" w:sz="6" w:space="0"/>
              <w:bottom w:val="outset" w:color="auto" w:sz="6" w:space="0"/>
              <w:right w:val="outset" w:color="auto" w:sz="6" w:space="0"/>
            </w:tcBorders>
          </w:tcPr>
          <w:p w14:paraId="345EC995">
            <w:pPr>
              <w:spacing w:after="160" w:line="259" w:lineRule="auto"/>
            </w:pPr>
            <w:r>
              <w:t>2015</w:t>
            </w:r>
          </w:p>
        </w:tc>
        <w:tc>
          <w:tcPr>
            <w:tcW w:w="1049" w:type="dxa"/>
            <w:tcBorders>
              <w:top w:val="outset" w:color="auto" w:sz="6" w:space="0"/>
              <w:left w:val="outset" w:color="auto" w:sz="6" w:space="0"/>
              <w:bottom w:val="outset" w:color="auto" w:sz="6" w:space="0"/>
              <w:right w:val="outset" w:color="auto" w:sz="6" w:space="0"/>
            </w:tcBorders>
          </w:tcPr>
          <w:p w14:paraId="093105C4">
            <w:pPr>
              <w:spacing w:after="160" w:line="259" w:lineRule="auto"/>
            </w:pPr>
            <w:r>
              <w:t>2016</w:t>
            </w:r>
          </w:p>
        </w:tc>
        <w:tc>
          <w:tcPr>
            <w:tcW w:w="1133" w:type="dxa"/>
            <w:tcBorders>
              <w:top w:val="outset" w:color="auto" w:sz="6" w:space="0"/>
              <w:left w:val="outset" w:color="auto" w:sz="6" w:space="0"/>
              <w:bottom w:val="outset" w:color="auto" w:sz="6" w:space="0"/>
              <w:right w:val="outset" w:color="auto" w:sz="6" w:space="0"/>
            </w:tcBorders>
          </w:tcPr>
          <w:p w14:paraId="41F5ECA3">
            <w:pPr>
              <w:spacing w:after="160" w:line="259" w:lineRule="auto"/>
            </w:pPr>
            <w:r>
              <w:t>2017</w:t>
            </w:r>
          </w:p>
        </w:tc>
        <w:tc>
          <w:tcPr>
            <w:tcW w:w="1054" w:type="dxa"/>
            <w:tcBorders>
              <w:top w:val="outset" w:color="auto" w:sz="6" w:space="0"/>
              <w:left w:val="outset" w:color="auto" w:sz="6" w:space="0"/>
              <w:bottom w:val="outset" w:color="auto" w:sz="6" w:space="0"/>
              <w:right w:val="outset" w:color="auto" w:sz="6" w:space="0"/>
            </w:tcBorders>
          </w:tcPr>
          <w:p w14:paraId="159A7306">
            <w:pPr>
              <w:spacing w:after="160" w:line="259" w:lineRule="auto"/>
            </w:pPr>
            <w:r>
              <w:t>2018</w:t>
            </w:r>
          </w:p>
        </w:tc>
        <w:tc>
          <w:tcPr>
            <w:tcW w:w="1017" w:type="dxa"/>
            <w:tcBorders>
              <w:top w:val="outset" w:color="auto" w:sz="6" w:space="0"/>
              <w:left w:val="outset" w:color="auto" w:sz="6" w:space="0"/>
              <w:bottom w:val="outset" w:color="auto" w:sz="6" w:space="0"/>
              <w:right w:val="outset" w:color="auto" w:sz="6" w:space="0"/>
            </w:tcBorders>
          </w:tcPr>
          <w:p w14:paraId="2AC4233E">
            <w:pPr>
              <w:spacing w:after="160" w:line="259" w:lineRule="auto"/>
            </w:pPr>
            <w:r>
              <w:t>2019</w:t>
            </w:r>
          </w:p>
        </w:tc>
        <w:tc>
          <w:tcPr>
            <w:tcW w:w="1551" w:type="dxa"/>
            <w:tcBorders>
              <w:top w:val="outset" w:color="auto" w:sz="6" w:space="0"/>
              <w:left w:val="outset" w:color="auto" w:sz="6" w:space="0"/>
              <w:bottom w:val="outset" w:color="auto" w:sz="6" w:space="0"/>
              <w:right w:val="outset" w:color="auto" w:sz="6" w:space="0"/>
            </w:tcBorders>
          </w:tcPr>
          <w:p w14:paraId="145C3955">
            <w:pPr>
              <w:spacing w:after="160" w:line="259" w:lineRule="auto"/>
            </w:pPr>
            <w:r>
              <w:t>2020</w:t>
            </w:r>
          </w:p>
        </w:tc>
        <w:tc>
          <w:tcPr>
            <w:tcW w:w="1309" w:type="dxa"/>
            <w:tcBorders>
              <w:top w:val="outset" w:color="auto" w:sz="6" w:space="0"/>
              <w:left w:val="outset" w:color="auto" w:sz="6" w:space="0"/>
              <w:bottom w:val="outset" w:color="auto" w:sz="6" w:space="0"/>
              <w:right w:val="outset" w:color="auto" w:sz="6" w:space="0"/>
            </w:tcBorders>
          </w:tcPr>
          <w:p w14:paraId="59FCDF1C">
            <w:pPr>
              <w:spacing w:after="160" w:line="259" w:lineRule="auto"/>
            </w:pPr>
            <w:r>
              <w:t>2021</w:t>
            </w:r>
          </w:p>
        </w:tc>
        <w:tc>
          <w:tcPr>
            <w:tcW w:w="1091" w:type="dxa"/>
            <w:tcBorders>
              <w:top w:val="outset" w:color="auto" w:sz="6" w:space="0"/>
              <w:left w:val="outset" w:color="auto" w:sz="6" w:space="0"/>
              <w:bottom w:val="outset" w:color="auto" w:sz="6" w:space="0"/>
              <w:right w:val="outset" w:color="auto" w:sz="6" w:space="0"/>
            </w:tcBorders>
          </w:tcPr>
          <w:p w14:paraId="5064D8B4">
            <w:pPr>
              <w:spacing w:after="160" w:line="259" w:lineRule="auto"/>
            </w:pPr>
            <w:r>
              <w:t>2022</w:t>
            </w:r>
          </w:p>
        </w:tc>
        <w:tc>
          <w:tcPr>
            <w:tcW w:w="1555" w:type="dxa"/>
            <w:tcBorders>
              <w:top w:val="outset" w:color="auto" w:sz="6" w:space="0"/>
              <w:left w:val="outset" w:color="auto" w:sz="6" w:space="0"/>
              <w:bottom w:val="outset" w:color="auto" w:sz="6" w:space="0"/>
              <w:right w:val="outset" w:color="auto" w:sz="6" w:space="0"/>
            </w:tcBorders>
          </w:tcPr>
          <w:p w14:paraId="4F5A2E72">
            <w:pPr>
              <w:spacing w:after="160" w:line="259" w:lineRule="auto"/>
              <w:rPr>
                <w:rFonts w:hint="default"/>
                <w:lang w:val="pt-BR"/>
              </w:rPr>
            </w:pPr>
            <w:r>
              <w:rPr>
                <w:rFonts w:hint="default"/>
                <w:lang w:val="pt-BR"/>
              </w:rPr>
              <w:t>2023</w:t>
            </w:r>
          </w:p>
        </w:tc>
      </w:tr>
      <w:tr w14:paraId="358A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73" w:type="dxa"/>
            <w:tcBorders>
              <w:top w:val="nil"/>
              <w:left w:val="outset" w:color="auto" w:sz="6" w:space="0"/>
              <w:bottom w:val="outset" w:color="auto" w:sz="6" w:space="0"/>
              <w:right w:val="outset" w:color="auto" w:sz="6" w:space="0"/>
            </w:tcBorders>
          </w:tcPr>
          <w:p w14:paraId="27F148F1">
            <w:pPr>
              <w:spacing w:after="160" w:line="259" w:lineRule="auto"/>
            </w:pPr>
            <w:r>
              <w:t xml:space="preserve">Indicador </w:t>
            </w:r>
          </w:p>
        </w:tc>
        <w:tc>
          <w:tcPr>
            <w:tcW w:w="1072" w:type="dxa"/>
            <w:tcBorders>
              <w:top w:val="nil"/>
              <w:left w:val="outset" w:color="auto" w:sz="6" w:space="0"/>
              <w:bottom w:val="outset" w:color="auto" w:sz="6" w:space="0"/>
              <w:right w:val="outset" w:color="auto" w:sz="6" w:space="0"/>
            </w:tcBorders>
          </w:tcPr>
          <w:p w14:paraId="0A0DC255">
            <w:pPr>
              <w:spacing w:after="160" w:line="259" w:lineRule="auto"/>
            </w:pPr>
            <w:r>
              <w:t>0</w:t>
            </w:r>
          </w:p>
        </w:tc>
        <w:tc>
          <w:tcPr>
            <w:tcW w:w="1026" w:type="dxa"/>
            <w:tcBorders>
              <w:top w:val="nil"/>
              <w:left w:val="outset" w:color="auto" w:sz="6" w:space="0"/>
              <w:bottom w:val="outset" w:color="auto" w:sz="6" w:space="0"/>
              <w:right w:val="outset" w:color="auto" w:sz="6" w:space="0"/>
            </w:tcBorders>
          </w:tcPr>
          <w:p w14:paraId="2780F10C">
            <w:pPr>
              <w:spacing w:after="160" w:line="259" w:lineRule="auto"/>
            </w:pPr>
            <w:r>
              <w:t>0</w:t>
            </w:r>
          </w:p>
        </w:tc>
        <w:tc>
          <w:tcPr>
            <w:tcW w:w="1049" w:type="dxa"/>
            <w:tcBorders>
              <w:top w:val="nil"/>
              <w:left w:val="outset" w:color="auto" w:sz="6" w:space="0"/>
              <w:bottom w:val="outset" w:color="auto" w:sz="6" w:space="0"/>
              <w:right w:val="outset" w:color="auto" w:sz="6" w:space="0"/>
            </w:tcBorders>
          </w:tcPr>
          <w:p w14:paraId="1E2D52F7">
            <w:pPr>
              <w:spacing w:after="160" w:line="259" w:lineRule="auto"/>
            </w:pPr>
            <w:r>
              <w:t>0</w:t>
            </w:r>
          </w:p>
        </w:tc>
        <w:tc>
          <w:tcPr>
            <w:tcW w:w="1133" w:type="dxa"/>
            <w:tcBorders>
              <w:top w:val="nil"/>
              <w:left w:val="outset" w:color="auto" w:sz="6" w:space="0"/>
              <w:bottom w:val="outset" w:color="auto" w:sz="6" w:space="0"/>
              <w:right w:val="outset" w:color="auto" w:sz="6" w:space="0"/>
            </w:tcBorders>
          </w:tcPr>
          <w:p w14:paraId="3ACF1330">
            <w:pPr>
              <w:spacing w:after="160" w:line="259" w:lineRule="auto"/>
            </w:pPr>
            <w:r>
              <w:t>0</w:t>
            </w:r>
          </w:p>
        </w:tc>
        <w:tc>
          <w:tcPr>
            <w:tcW w:w="1054" w:type="dxa"/>
            <w:tcBorders>
              <w:top w:val="nil"/>
              <w:left w:val="outset" w:color="auto" w:sz="6" w:space="0"/>
              <w:bottom w:val="outset" w:color="auto" w:sz="6" w:space="0"/>
              <w:right w:val="outset" w:color="auto" w:sz="6" w:space="0"/>
            </w:tcBorders>
          </w:tcPr>
          <w:p w14:paraId="453E9AC3">
            <w:pPr>
              <w:spacing w:after="160" w:line="259" w:lineRule="auto"/>
            </w:pPr>
            <w:r>
              <w:t>0</w:t>
            </w:r>
          </w:p>
        </w:tc>
        <w:tc>
          <w:tcPr>
            <w:tcW w:w="1017" w:type="dxa"/>
            <w:tcBorders>
              <w:top w:val="nil"/>
              <w:left w:val="outset" w:color="auto" w:sz="6" w:space="0"/>
              <w:bottom w:val="outset" w:color="auto" w:sz="6" w:space="0"/>
              <w:right w:val="outset" w:color="auto" w:sz="6" w:space="0"/>
            </w:tcBorders>
          </w:tcPr>
          <w:p w14:paraId="4708182F">
            <w:pPr>
              <w:spacing w:after="160" w:line="259" w:lineRule="auto"/>
            </w:pPr>
            <w:r>
              <w:t>0</w:t>
            </w:r>
          </w:p>
        </w:tc>
        <w:tc>
          <w:tcPr>
            <w:tcW w:w="1551" w:type="dxa"/>
            <w:tcBorders>
              <w:top w:val="nil"/>
              <w:left w:val="outset" w:color="auto" w:sz="6" w:space="0"/>
              <w:bottom w:val="outset" w:color="auto" w:sz="6" w:space="0"/>
              <w:right w:val="outset" w:color="auto" w:sz="6" w:space="0"/>
            </w:tcBorders>
          </w:tcPr>
          <w:p w14:paraId="37FFBCB3">
            <w:pPr>
              <w:spacing w:after="160" w:line="259" w:lineRule="auto"/>
            </w:pPr>
            <w:r>
              <w:t>0</w:t>
            </w:r>
          </w:p>
        </w:tc>
        <w:tc>
          <w:tcPr>
            <w:tcW w:w="1309" w:type="dxa"/>
            <w:tcBorders>
              <w:top w:val="nil"/>
              <w:left w:val="outset" w:color="auto" w:sz="6" w:space="0"/>
              <w:bottom w:val="outset" w:color="auto" w:sz="6" w:space="0"/>
              <w:right w:val="outset" w:color="auto" w:sz="6" w:space="0"/>
            </w:tcBorders>
            <w:shd w:val="clear" w:color="auto" w:fill="FFFFFF"/>
          </w:tcPr>
          <w:p w14:paraId="15891CDC">
            <w:pPr>
              <w:spacing w:after="160" w:line="259" w:lineRule="auto"/>
            </w:pPr>
            <w:r>
              <w:t xml:space="preserve">       0</w:t>
            </w:r>
          </w:p>
        </w:tc>
        <w:tc>
          <w:tcPr>
            <w:tcW w:w="1091" w:type="dxa"/>
            <w:tcBorders>
              <w:top w:val="nil"/>
              <w:left w:val="outset" w:color="auto" w:sz="6" w:space="0"/>
              <w:bottom w:val="outset" w:color="auto" w:sz="6" w:space="0"/>
              <w:right w:val="outset" w:color="auto" w:sz="6" w:space="0"/>
            </w:tcBorders>
            <w:shd w:val="clear" w:color="auto" w:fill="FFFFFF"/>
          </w:tcPr>
          <w:p w14:paraId="1AA7EF9F">
            <w:pPr>
              <w:spacing w:after="160" w:line="259" w:lineRule="auto"/>
            </w:pPr>
            <w:r>
              <w:t>0</w:t>
            </w:r>
          </w:p>
        </w:tc>
        <w:tc>
          <w:tcPr>
            <w:tcW w:w="1555" w:type="dxa"/>
            <w:tcBorders>
              <w:top w:val="nil"/>
              <w:left w:val="outset" w:color="auto" w:sz="6" w:space="0"/>
              <w:bottom w:val="outset" w:color="auto" w:sz="6" w:space="0"/>
              <w:right w:val="outset" w:color="auto" w:sz="6" w:space="0"/>
            </w:tcBorders>
            <w:shd w:val="clear" w:color="auto" w:fill="FFFFFF"/>
          </w:tcPr>
          <w:p w14:paraId="52980E59">
            <w:pPr>
              <w:spacing w:after="160" w:line="259" w:lineRule="auto"/>
              <w:rPr>
                <w:rFonts w:hint="default"/>
                <w:lang w:val="pt-BR"/>
              </w:rPr>
            </w:pPr>
            <w:r>
              <w:rPr>
                <w:rFonts w:hint="default"/>
                <w:lang w:val="pt-BR"/>
              </w:rPr>
              <w:t>0</w:t>
            </w:r>
          </w:p>
        </w:tc>
      </w:tr>
      <w:tr w14:paraId="0BD8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0" w:type="dxa"/>
            <w:gridSpan w:val="11"/>
          </w:tcPr>
          <w:p w14:paraId="00759C01">
            <w:pPr>
              <w:jc w:val="center"/>
              <w:rPr>
                <w:rFonts w:hint="default"/>
                <w:vertAlign w:val="baseline"/>
                <w:lang w:val="pt-BR"/>
              </w:rPr>
            </w:pPr>
            <w:r>
              <w:rPr>
                <w:rFonts w:hint="default"/>
                <w:vertAlign w:val="baseline"/>
                <w:lang w:val="pt-BR"/>
              </w:rPr>
              <w:t>Fonte: INEP - Censo da Educação Básica</w:t>
            </w:r>
          </w:p>
        </w:tc>
      </w:tr>
    </w:tbl>
    <w:p w14:paraId="2336CAE4"/>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5"/>
        <w:gridCol w:w="7111"/>
      </w:tblGrid>
      <w:tr w14:paraId="5016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5BEB7DE3">
            <w:pPr>
              <w:pStyle w:val="16"/>
              <w:numPr>
                <w:ilvl w:val="0"/>
                <w:numId w:val="0"/>
              </w:numPr>
              <w:jc w:val="center"/>
              <w:rPr>
                <w:rFonts w:hint="default"/>
                <w:b/>
                <w:vertAlign w:val="baseline"/>
                <w:lang w:val="pt-BR"/>
              </w:rPr>
            </w:pPr>
            <w:r>
              <w:rPr>
                <w:rFonts w:hint="default"/>
                <w:b/>
                <w:vertAlign w:val="baseline"/>
                <w:lang w:val="pt-BR"/>
              </w:rPr>
              <w:t>Ficha metodológica para o indicador 11B</w:t>
            </w:r>
            <w:r>
              <w:rPr>
                <w:rFonts w:hint="default"/>
                <w:b/>
                <w:bCs w:val="0"/>
                <w:vertAlign w:val="baseline"/>
                <w:lang w:val="pt-BR"/>
              </w:rPr>
              <w:t xml:space="preserve"> </w:t>
            </w:r>
            <w:r>
              <w:rPr>
                <w:rFonts w:hint="default"/>
                <w:b/>
                <w:vertAlign w:val="baseline"/>
                <w:lang w:val="pt-BR"/>
              </w:rPr>
              <w:t>- base PNE</w:t>
            </w:r>
          </w:p>
        </w:tc>
      </w:tr>
      <w:tr w14:paraId="104A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outset" w:color="auto" w:sz="6" w:space="0"/>
              <w:left w:val="outset" w:color="auto" w:sz="6" w:space="0"/>
              <w:bottom w:val="outset" w:color="auto" w:sz="6" w:space="0"/>
              <w:right w:val="outset" w:color="auto" w:sz="6" w:space="0"/>
            </w:tcBorders>
          </w:tcPr>
          <w:p w14:paraId="59FFBA8A">
            <w:pPr>
              <w:spacing w:after="160" w:line="259" w:lineRule="auto"/>
              <w:rPr>
                <w:b/>
              </w:rPr>
            </w:pPr>
            <w:r>
              <w:rPr>
                <w:b/>
              </w:rPr>
              <w:t>Meta</w:t>
            </w:r>
          </w:p>
        </w:tc>
        <w:tc>
          <w:tcPr>
            <w:tcW w:w="7111" w:type="dxa"/>
            <w:tcBorders>
              <w:top w:val="outset" w:color="auto" w:sz="6" w:space="0"/>
              <w:left w:val="outset" w:color="auto" w:sz="6" w:space="0"/>
              <w:bottom w:val="outset" w:color="auto" w:sz="6" w:space="0"/>
              <w:right w:val="outset" w:color="auto" w:sz="6" w:space="0"/>
            </w:tcBorders>
          </w:tcPr>
          <w:p w14:paraId="0BA0A70A">
            <w:pPr>
              <w:spacing w:after="160" w:line="259" w:lineRule="auto"/>
              <w:rPr>
                <w:b/>
              </w:rPr>
            </w:pPr>
            <w:r>
              <w:rPr>
                <w:b/>
              </w:rPr>
              <w:t>Texto da meta</w:t>
            </w:r>
          </w:p>
        </w:tc>
      </w:tr>
      <w:tr w14:paraId="3453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nil"/>
              <w:left w:val="outset" w:color="auto" w:sz="6" w:space="0"/>
              <w:bottom w:val="outset" w:color="auto" w:sz="6" w:space="0"/>
              <w:right w:val="outset" w:color="auto" w:sz="6" w:space="0"/>
            </w:tcBorders>
          </w:tcPr>
          <w:p w14:paraId="15E71DE0">
            <w:pPr>
              <w:spacing w:after="160" w:line="259" w:lineRule="auto"/>
            </w:pPr>
            <w:r>
              <w:t>11</w:t>
            </w:r>
          </w:p>
        </w:tc>
        <w:tc>
          <w:tcPr>
            <w:tcW w:w="7111" w:type="dxa"/>
            <w:tcBorders>
              <w:top w:val="nil"/>
              <w:left w:val="outset" w:color="auto" w:sz="6" w:space="0"/>
              <w:bottom w:val="outset" w:color="auto" w:sz="6" w:space="0"/>
              <w:right w:val="outset" w:color="auto" w:sz="6" w:space="0"/>
            </w:tcBorders>
          </w:tcPr>
          <w:p w14:paraId="648AA0A5">
            <w:pPr>
              <w:spacing w:after="160" w:line="259" w:lineRule="auto"/>
              <w:jc w:val="both"/>
              <w:rPr>
                <w:rFonts w:hint="default"/>
                <w:lang w:val="pt-BR"/>
              </w:rPr>
            </w:pPr>
            <w:r>
              <w:rPr>
                <w:b/>
                <w:bCs/>
              </w:rPr>
              <w:t xml:space="preserve"> </w:t>
            </w:r>
            <w:r>
              <w:rPr>
                <w:rFonts w:hint="default"/>
                <w:bCs/>
                <w:lang w:val="pt-BR"/>
              </w:rPr>
              <w:t>Triplicar as matrículas da educação profissional técnica de nível médio, assegurando a qualidade da oferta e pelo menos 50% (cinquenta por cento) da expansão no segmento público.</w:t>
            </w:r>
          </w:p>
        </w:tc>
      </w:tr>
      <w:tr w14:paraId="4654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outset" w:color="auto" w:sz="6" w:space="0"/>
              <w:left w:val="outset" w:color="auto" w:sz="6" w:space="0"/>
              <w:bottom w:val="outset" w:color="auto" w:sz="6" w:space="0"/>
              <w:right w:val="outset" w:color="auto" w:sz="6" w:space="0"/>
            </w:tcBorders>
          </w:tcPr>
          <w:p w14:paraId="4B4E51F0">
            <w:pPr>
              <w:spacing w:after="160" w:line="259" w:lineRule="auto"/>
              <w:rPr>
                <w:rFonts w:hint="default"/>
                <w:lang w:val="pt-BR"/>
              </w:rPr>
            </w:pPr>
            <w:r>
              <w:t xml:space="preserve">Indicador </w:t>
            </w:r>
            <w:r>
              <w:rPr>
                <w:rFonts w:hint="default"/>
                <w:lang w:val="pt-BR"/>
              </w:rPr>
              <w:t>11B Nacional</w:t>
            </w:r>
          </w:p>
        </w:tc>
        <w:tc>
          <w:tcPr>
            <w:tcW w:w="7111" w:type="dxa"/>
            <w:tcBorders>
              <w:top w:val="outset" w:color="auto" w:sz="6" w:space="0"/>
              <w:left w:val="outset" w:color="auto" w:sz="6" w:space="0"/>
              <w:bottom w:val="outset" w:color="auto" w:sz="6" w:space="0"/>
              <w:right w:val="outset" w:color="auto" w:sz="6" w:space="0"/>
            </w:tcBorders>
          </w:tcPr>
          <w:p w14:paraId="7AE8688A">
            <w:pPr>
              <w:spacing w:after="160" w:line="259" w:lineRule="auto"/>
              <w:rPr>
                <w:rFonts w:hint="default"/>
                <w:lang w:val="pt-BR"/>
              </w:rPr>
            </w:pPr>
            <w:r>
              <w:t>Participação do segmento público na expansão da EPT de Nível Médio</w:t>
            </w:r>
            <w:r>
              <w:rPr>
                <w:rFonts w:hint="default"/>
                <w:lang w:val="pt-BR"/>
              </w:rPr>
              <w:t>.</w:t>
            </w:r>
          </w:p>
        </w:tc>
      </w:tr>
      <w:tr w14:paraId="1E2C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outset" w:color="auto" w:sz="6" w:space="0"/>
              <w:left w:val="outset" w:color="auto" w:sz="6" w:space="0"/>
              <w:bottom w:val="outset" w:color="auto" w:sz="6" w:space="0"/>
              <w:right w:val="outset" w:color="auto" w:sz="6" w:space="0"/>
            </w:tcBorders>
          </w:tcPr>
          <w:p w14:paraId="654FCA9A">
            <w:pPr>
              <w:spacing w:after="160" w:line="259" w:lineRule="auto"/>
              <w:rPr>
                <w:rFonts w:hint="default"/>
                <w:lang w:val="pt-BR"/>
              </w:rPr>
            </w:pPr>
            <w:r>
              <w:rPr>
                <w:rFonts w:hint="default"/>
                <w:lang w:val="pt-BR"/>
              </w:rPr>
              <w:t>Indicador 11B Proposto</w:t>
            </w:r>
          </w:p>
        </w:tc>
        <w:tc>
          <w:tcPr>
            <w:tcW w:w="7111" w:type="dxa"/>
            <w:tcBorders>
              <w:top w:val="outset" w:color="auto" w:sz="6" w:space="0"/>
              <w:left w:val="outset" w:color="auto" w:sz="6" w:space="0"/>
              <w:bottom w:val="outset" w:color="auto" w:sz="6" w:space="0"/>
              <w:right w:val="outset" w:color="auto" w:sz="6" w:space="0"/>
            </w:tcBorders>
          </w:tcPr>
          <w:p w14:paraId="256DEFCA">
            <w:pPr>
              <w:spacing w:after="160" w:line="259" w:lineRule="auto"/>
              <w:rPr>
                <w:rFonts w:hint="default"/>
                <w:lang w:val="pt-BR"/>
              </w:rPr>
            </w:pPr>
            <w:r>
              <w:rPr>
                <w:rFonts w:hint="default"/>
                <w:lang w:val="pt-BR"/>
              </w:rPr>
              <w:t>Replicar o nacional</w:t>
            </w:r>
          </w:p>
        </w:tc>
      </w:tr>
      <w:tr w14:paraId="54F2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nil"/>
              <w:left w:val="outset" w:color="auto" w:sz="6" w:space="0"/>
              <w:bottom w:val="outset" w:color="auto" w:sz="6" w:space="0"/>
              <w:right w:val="outset" w:color="auto" w:sz="6" w:space="0"/>
            </w:tcBorders>
          </w:tcPr>
          <w:p w14:paraId="60BD6C98">
            <w:pPr>
              <w:spacing w:after="160" w:line="259" w:lineRule="auto"/>
            </w:pPr>
            <w:r>
              <w:t>Fórmula de cálculo</w:t>
            </w:r>
          </w:p>
        </w:tc>
        <w:tc>
          <w:tcPr>
            <w:tcW w:w="7111" w:type="dxa"/>
            <w:tcBorders>
              <w:top w:val="nil"/>
              <w:left w:val="outset" w:color="auto" w:sz="6" w:space="0"/>
              <w:bottom w:val="outset" w:color="auto" w:sz="6" w:space="0"/>
              <w:right w:val="outset" w:color="auto" w:sz="6" w:space="0"/>
            </w:tcBorders>
          </w:tcPr>
          <w:p w14:paraId="2D224F9E">
            <w:pPr>
              <w:spacing w:after="160" w:line="259" w:lineRule="auto"/>
              <w:jc w:val="both"/>
            </w:pPr>
            <w:r>
              <w:t>(Matrículas no ano - matrículas em 2013) público / (Matrículas no ano - matrículas em 2013) total) x 100</w:t>
            </w:r>
          </w:p>
        </w:tc>
      </w:tr>
      <w:tr w14:paraId="087F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nil"/>
              <w:left w:val="outset" w:color="auto" w:sz="6" w:space="0"/>
              <w:bottom w:val="outset" w:color="auto" w:sz="6" w:space="0"/>
              <w:right w:val="outset" w:color="auto" w:sz="6" w:space="0"/>
            </w:tcBorders>
          </w:tcPr>
          <w:p w14:paraId="02B6A1DA">
            <w:pPr>
              <w:spacing w:after="160" w:line="259" w:lineRule="auto"/>
            </w:pPr>
            <w:r>
              <w:t>Comentário.</w:t>
            </w:r>
          </w:p>
          <w:p w14:paraId="5C891CF8">
            <w:pPr>
              <w:spacing w:after="160" w:line="259" w:lineRule="auto"/>
            </w:pPr>
          </w:p>
        </w:tc>
        <w:tc>
          <w:tcPr>
            <w:tcW w:w="7111" w:type="dxa"/>
            <w:tcBorders>
              <w:top w:val="nil"/>
              <w:left w:val="outset" w:color="auto" w:sz="6" w:space="0"/>
              <w:bottom w:val="outset" w:color="auto" w:sz="6" w:space="0"/>
              <w:right w:val="outset" w:color="auto" w:sz="6" w:space="0"/>
            </w:tcBorders>
          </w:tcPr>
          <w:p w14:paraId="27D04F61">
            <w:pPr>
              <w:spacing w:after="160" w:line="259" w:lineRule="auto"/>
              <w:jc w:val="both"/>
              <w:rPr>
                <w:b/>
              </w:rPr>
            </w:pPr>
            <w:r>
              <w:t xml:space="preserve">Calculado conforme Relatório do 3º Ciclo de Monitoramento das Metas do Plano Nacional de Educação - 2020(INEP). Condicionante do Indicador 11B: sua fórmula só é aplicável quando, no período analisado houver expansão (positiva) de matrículas. </w:t>
            </w:r>
            <w:r>
              <w:rPr>
                <w:b/>
              </w:rPr>
              <w:t xml:space="preserve"> </w:t>
            </w:r>
          </w:p>
        </w:tc>
      </w:tr>
    </w:tbl>
    <w:p w14:paraId="5C469A97">
      <w: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42"/>
        <w:gridCol w:w="1212"/>
        <w:gridCol w:w="1215"/>
        <w:gridCol w:w="1204"/>
        <w:gridCol w:w="1105"/>
        <w:gridCol w:w="1154"/>
        <w:gridCol w:w="1240"/>
        <w:gridCol w:w="1191"/>
        <w:gridCol w:w="1178"/>
        <w:gridCol w:w="1295"/>
        <w:gridCol w:w="1295"/>
      </w:tblGrid>
      <w:tr w14:paraId="61CC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42" w:type="dxa"/>
            <w:tcBorders>
              <w:top w:val="outset" w:color="auto" w:sz="6" w:space="0"/>
              <w:left w:val="outset" w:color="auto" w:sz="6" w:space="0"/>
              <w:bottom w:val="outset" w:color="auto" w:sz="6" w:space="0"/>
              <w:right w:val="outset" w:color="auto" w:sz="6" w:space="0"/>
            </w:tcBorders>
          </w:tcPr>
          <w:p w14:paraId="2A2B549C">
            <w:pPr>
              <w:spacing w:after="160" w:line="259" w:lineRule="auto"/>
            </w:pPr>
          </w:p>
        </w:tc>
        <w:tc>
          <w:tcPr>
            <w:tcW w:w="1212" w:type="dxa"/>
            <w:tcBorders>
              <w:top w:val="outset" w:color="auto" w:sz="6" w:space="0"/>
              <w:left w:val="outset" w:color="auto" w:sz="6" w:space="0"/>
              <w:bottom w:val="outset" w:color="auto" w:sz="6" w:space="0"/>
              <w:right w:val="outset" w:color="auto" w:sz="6" w:space="0"/>
            </w:tcBorders>
          </w:tcPr>
          <w:p w14:paraId="1993B89B">
            <w:pPr>
              <w:spacing w:after="160" w:line="259" w:lineRule="auto"/>
            </w:pPr>
            <w:r>
              <w:rPr>
                <w:bCs/>
              </w:rPr>
              <w:t>Expansão 2013-2014</w:t>
            </w:r>
          </w:p>
        </w:tc>
        <w:tc>
          <w:tcPr>
            <w:tcW w:w="1215" w:type="dxa"/>
            <w:tcBorders>
              <w:top w:val="outset" w:color="auto" w:sz="6" w:space="0"/>
              <w:left w:val="outset" w:color="auto" w:sz="6" w:space="0"/>
              <w:bottom w:val="outset" w:color="auto" w:sz="6" w:space="0"/>
              <w:right w:val="outset" w:color="auto" w:sz="6" w:space="0"/>
            </w:tcBorders>
          </w:tcPr>
          <w:p w14:paraId="64FEE484">
            <w:pPr>
              <w:spacing w:after="160" w:line="259" w:lineRule="auto"/>
            </w:pPr>
            <w:r>
              <w:rPr>
                <w:bCs/>
              </w:rPr>
              <w:t>Expansão 2013-2015</w:t>
            </w:r>
          </w:p>
          <w:p w14:paraId="7F526EE1">
            <w:pPr>
              <w:spacing w:after="160" w:line="259" w:lineRule="auto"/>
            </w:pPr>
          </w:p>
        </w:tc>
        <w:tc>
          <w:tcPr>
            <w:tcW w:w="1204" w:type="dxa"/>
            <w:tcBorders>
              <w:top w:val="outset" w:color="auto" w:sz="6" w:space="0"/>
              <w:left w:val="outset" w:color="auto" w:sz="6" w:space="0"/>
              <w:bottom w:val="outset" w:color="auto" w:sz="6" w:space="0"/>
              <w:right w:val="outset" w:color="auto" w:sz="6" w:space="0"/>
            </w:tcBorders>
          </w:tcPr>
          <w:p w14:paraId="48EA8A5E">
            <w:pPr>
              <w:spacing w:after="160" w:line="259" w:lineRule="auto"/>
            </w:pPr>
            <w:r>
              <w:rPr>
                <w:bCs/>
              </w:rPr>
              <w:t>Expansão 2016</w:t>
            </w:r>
          </w:p>
          <w:p w14:paraId="574187C2">
            <w:pPr>
              <w:spacing w:after="160" w:line="259" w:lineRule="auto"/>
            </w:pPr>
          </w:p>
        </w:tc>
        <w:tc>
          <w:tcPr>
            <w:tcW w:w="1105" w:type="dxa"/>
            <w:tcBorders>
              <w:top w:val="outset" w:color="auto" w:sz="6" w:space="0"/>
              <w:left w:val="outset" w:color="auto" w:sz="6" w:space="0"/>
              <w:bottom w:val="outset" w:color="auto" w:sz="6" w:space="0"/>
              <w:right w:val="outset" w:color="auto" w:sz="6" w:space="0"/>
            </w:tcBorders>
          </w:tcPr>
          <w:p w14:paraId="15CF9655">
            <w:pPr>
              <w:spacing w:after="160" w:line="259" w:lineRule="auto"/>
            </w:pPr>
            <w:r>
              <w:rPr>
                <w:bCs/>
              </w:rPr>
              <w:t>Expansão 2017</w:t>
            </w:r>
          </w:p>
          <w:p w14:paraId="08348849">
            <w:pPr>
              <w:spacing w:after="160" w:line="259" w:lineRule="auto"/>
            </w:pPr>
          </w:p>
        </w:tc>
        <w:tc>
          <w:tcPr>
            <w:tcW w:w="1154" w:type="dxa"/>
            <w:tcBorders>
              <w:top w:val="outset" w:color="auto" w:sz="6" w:space="0"/>
              <w:left w:val="outset" w:color="auto" w:sz="6" w:space="0"/>
              <w:bottom w:val="outset" w:color="auto" w:sz="6" w:space="0"/>
              <w:right w:val="outset" w:color="auto" w:sz="6" w:space="0"/>
            </w:tcBorders>
          </w:tcPr>
          <w:p w14:paraId="6C04D8EF">
            <w:pPr>
              <w:spacing w:after="160" w:line="259" w:lineRule="auto"/>
            </w:pPr>
            <w:r>
              <w:rPr>
                <w:bCs/>
              </w:rPr>
              <w:t>Expansão 2013-2018</w:t>
            </w:r>
          </w:p>
        </w:tc>
        <w:tc>
          <w:tcPr>
            <w:tcW w:w="1240" w:type="dxa"/>
            <w:tcBorders>
              <w:top w:val="outset" w:color="auto" w:sz="6" w:space="0"/>
              <w:left w:val="outset" w:color="auto" w:sz="6" w:space="0"/>
              <w:bottom w:val="outset" w:color="auto" w:sz="6" w:space="0"/>
              <w:right w:val="outset" w:color="auto" w:sz="6" w:space="0"/>
            </w:tcBorders>
          </w:tcPr>
          <w:p w14:paraId="5EA1A343">
            <w:pPr>
              <w:spacing w:after="160" w:line="259" w:lineRule="auto"/>
              <w:rPr>
                <w:bCs/>
              </w:rPr>
            </w:pPr>
            <w:r>
              <w:rPr>
                <w:bCs/>
              </w:rPr>
              <w:t>Expansão 2013-2019</w:t>
            </w:r>
          </w:p>
        </w:tc>
        <w:tc>
          <w:tcPr>
            <w:tcW w:w="1191" w:type="dxa"/>
            <w:tcBorders>
              <w:top w:val="outset" w:color="auto" w:sz="6" w:space="0"/>
              <w:left w:val="outset" w:color="auto" w:sz="6" w:space="0"/>
              <w:bottom w:val="outset" w:color="auto" w:sz="6" w:space="0"/>
              <w:right w:val="outset" w:color="auto" w:sz="6" w:space="0"/>
            </w:tcBorders>
          </w:tcPr>
          <w:p w14:paraId="43849BEB">
            <w:pPr>
              <w:spacing w:after="160" w:line="259" w:lineRule="auto"/>
              <w:rPr>
                <w:bCs/>
              </w:rPr>
            </w:pPr>
            <w:r>
              <w:rPr>
                <w:bCs/>
              </w:rPr>
              <w:t>Expansão 2013-2020</w:t>
            </w:r>
          </w:p>
        </w:tc>
        <w:tc>
          <w:tcPr>
            <w:tcW w:w="1178" w:type="dxa"/>
            <w:tcBorders>
              <w:top w:val="outset" w:color="auto" w:sz="6" w:space="0"/>
              <w:left w:val="outset" w:color="auto" w:sz="6" w:space="0"/>
              <w:bottom w:val="outset" w:color="auto" w:sz="6" w:space="0"/>
              <w:right w:val="outset" w:color="auto" w:sz="6" w:space="0"/>
            </w:tcBorders>
          </w:tcPr>
          <w:p w14:paraId="7AE7F7E4">
            <w:pPr>
              <w:spacing w:after="160" w:line="259" w:lineRule="auto"/>
              <w:rPr>
                <w:bCs/>
              </w:rPr>
            </w:pPr>
            <w:r>
              <w:rPr>
                <w:bCs/>
              </w:rPr>
              <w:t>Expansão 2013-2021</w:t>
            </w:r>
          </w:p>
        </w:tc>
        <w:tc>
          <w:tcPr>
            <w:tcW w:w="1295" w:type="dxa"/>
            <w:tcBorders>
              <w:top w:val="outset" w:color="auto" w:sz="6" w:space="0"/>
              <w:left w:val="outset" w:color="auto" w:sz="6" w:space="0"/>
              <w:bottom w:val="outset" w:color="auto" w:sz="6" w:space="0"/>
              <w:right w:val="outset" w:color="auto" w:sz="6" w:space="0"/>
            </w:tcBorders>
          </w:tcPr>
          <w:p w14:paraId="04542E84">
            <w:pPr>
              <w:spacing w:after="160" w:line="259" w:lineRule="auto"/>
              <w:rPr>
                <w:rFonts w:hint="default"/>
                <w:bCs/>
                <w:lang w:val="pt-BR"/>
              </w:rPr>
            </w:pPr>
            <w:r>
              <w:rPr>
                <w:bCs/>
              </w:rPr>
              <w:t>Expansão 2013-202</w:t>
            </w:r>
            <w:r>
              <w:rPr>
                <w:rFonts w:hint="default"/>
                <w:bCs/>
                <w:lang w:val="pt-BR"/>
              </w:rPr>
              <w:t>2</w:t>
            </w:r>
          </w:p>
        </w:tc>
        <w:tc>
          <w:tcPr>
            <w:tcW w:w="1295" w:type="dxa"/>
            <w:tcBorders>
              <w:top w:val="outset" w:color="auto" w:sz="6" w:space="0"/>
              <w:left w:val="outset" w:color="auto" w:sz="6" w:space="0"/>
              <w:bottom w:val="outset" w:color="auto" w:sz="6" w:space="0"/>
              <w:right w:val="outset" w:color="auto" w:sz="6" w:space="0"/>
            </w:tcBorders>
          </w:tcPr>
          <w:p w14:paraId="2E0B689E">
            <w:pPr>
              <w:spacing w:after="160" w:line="259" w:lineRule="auto"/>
              <w:rPr>
                <w:rFonts w:hint="default"/>
                <w:bCs/>
                <w:lang w:val="pt-BR"/>
              </w:rPr>
            </w:pPr>
            <w:r>
              <w:rPr>
                <w:rFonts w:hint="default"/>
                <w:bCs/>
                <w:lang w:val="pt-BR"/>
              </w:rPr>
              <w:t>Expansão 2013-2023</w:t>
            </w:r>
          </w:p>
          <w:p w14:paraId="6A2A25A0">
            <w:pPr>
              <w:spacing w:after="160" w:line="259" w:lineRule="auto"/>
              <w:rPr>
                <w:rFonts w:hint="default"/>
                <w:bCs/>
                <w:lang w:val="pt-BR"/>
              </w:rPr>
            </w:pPr>
          </w:p>
        </w:tc>
      </w:tr>
      <w:tr w14:paraId="0724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42" w:type="dxa"/>
            <w:tcBorders>
              <w:top w:val="nil"/>
              <w:left w:val="outset" w:color="auto" w:sz="6" w:space="0"/>
              <w:bottom w:val="outset" w:color="auto" w:sz="6" w:space="0"/>
              <w:right w:val="outset" w:color="auto" w:sz="6" w:space="0"/>
            </w:tcBorders>
          </w:tcPr>
          <w:p w14:paraId="307689D0">
            <w:pPr>
              <w:spacing w:after="160" w:line="259" w:lineRule="auto"/>
            </w:pPr>
            <w:r>
              <w:t>Indicador 2</w:t>
            </w:r>
          </w:p>
        </w:tc>
        <w:tc>
          <w:tcPr>
            <w:tcW w:w="1212" w:type="dxa"/>
            <w:tcBorders>
              <w:top w:val="nil"/>
              <w:left w:val="outset" w:color="auto" w:sz="6" w:space="0"/>
              <w:bottom w:val="outset" w:color="auto" w:sz="6" w:space="0"/>
              <w:right w:val="outset" w:color="auto" w:sz="6" w:space="0"/>
            </w:tcBorders>
          </w:tcPr>
          <w:p w14:paraId="67B44B05">
            <w:pPr>
              <w:spacing w:after="160" w:line="259" w:lineRule="auto"/>
              <w:rPr>
                <w:b/>
                <w:bCs/>
              </w:rPr>
            </w:pPr>
            <w:r>
              <w:rPr>
                <w:b/>
                <w:bCs/>
              </w:rPr>
              <w:t>-</w:t>
            </w:r>
          </w:p>
        </w:tc>
        <w:tc>
          <w:tcPr>
            <w:tcW w:w="1215" w:type="dxa"/>
            <w:tcBorders>
              <w:top w:val="nil"/>
              <w:left w:val="outset" w:color="auto" w:sz="6" w:space="0"/>
              <w:bottom w:val="outset" w:color="auto" w:sz="6" w:space="0"/>
              <w:right w:val="outset" w:color="auto" w:sz="6" w:space="0"/>
            </w:tcBorders>
          </w:tcPr>
          <w:p w14:paraId="366914A0">
            <w:pPr>
              <w:spacing w:after="160" w:line="259" w:lineRule="auto"/>
              <w:rPr>
                <w:b/>
                <w:bCs/>
              </w:rPr>
            </w:pPr>
            <w:r>
              <w:rPr>
                <w:b/>
                <w:bCs/>
              </w:rPr>
              <w:t>-</w:t>
            </w:r>
          </w:p>
        </w:tc>
        <w:tc>
          <w:tcPr>
            <w:tcW w:w="1204" w:type="dxa"/>
            <w:tcBorders>
              <w:top w:val="nil"/>
              <w:left w:val="outset" w:color="auto" w:sz="6" w:space="0"/>
              <w:bottom w:val="outset" w:color="auto" w:sz="6" w:space="0"/>
              <w:right w:val="outset" w:color="auto" w:sz="6" w:space="0"/>
            </w:tcBorders>
          </w:tcPr>
          <w:p w14:paraId="2680EA67">
            <w:pPr>
              <w:spacing w:after="160" w:line="259" w:lineRule="auto"/>
              <w:rPr>
                <w:b/>
                <w:bCs/>
              </w:rPr>
            </w:pPr>
            <w:r>
              <w:rPr>
                <w:b/>
                <w:bCs/>
              </w:rPr>
              <w:t>-</w:t>
            </w:r>
          </w:p>
        </w:tc>
        <w:tc>
          <w:tcPr>
            <w:tcW w:w="1105" w:type="dxa"/>
            <w:tcBorders>
              <w:top w:val="nil"/>
              <w:left w:val="outset" w:color="auto" w:sz="6" w:space="0"/>
              <w:bottom w:val="outset" w:color="auto" w:sz="6" w:space="0"/>
              <w:right w:val="outset" w:color="auto" w:sz="6" w:space="0"/>
            </w:tcBorders>
          </w:tcPr>
          <w:p w14:paraId="54285907">
            <w:pPr>
              <w:spacing w:after="160" w:line="259" w:lineRule="auto"/>
              <w:rPr>
                <w:b/>
                <w:bCs/>
              </w:rPr>
            </w:pPr>
            <w:r>
              <w:rPr>
                <w:b/>
                <w:bCs/>
              </w:rPr>
              <w:t>-</w:t>
            </w:r>
          </w:p>
        </w:tc>
        <w:tc>
          <w:tcPr>
            <w:tcW w:w="1154" w:type="dxa"/>
            <w:tcBorders>
              <w:top w:val="nil"/>
              <w:left w:val="outset" w:color="auto" w:sz="6" w:space="0"/>
              <w:bottom w:val="outset" w:color="auto" w:sz="6" w:space="0"/>
              <w:right w:val="outset" w:color="auto" w:sz="6" w:space="0"/>
            </w:tcBorders>
          </w:tcPr>
          <w:p w14:paraId="654E8A2C">
            <w:pPr>
              <w:spacing w:after="160" w:line="259" w:lineRule="auto"/>
              <w:rPr>
                <w:b/>
                <w:bCs/>
              </w:rPr>
            </w:pPr>
            <w:r>
              <w:rPr>
                <w:b/>
                <w:bCs/>
              </w:rPr>
              <w:t>-</w:t>
            </w:r>
          </w:p>
        </w:tc>
        <w:tc>
          <w:tcPr>
            <w:tcW w:w="1240" w:type="dxa"/>
            <w:tcBorders>
              <w:top w:val="nil"/>
              <w:left w:val="outset" w:color="auto" w:sz="6" w:space="0"/>
              <w:bottom w:val="outset" w:color="auto" w:sz="6" w:space="0"/>
              <w:right w:val="outset" w:color="auto" w:sz="6" w:space="0"/>
            </w:tcBorders>
          </w:tcPr>
          <w:p w14:paraId="70E7F2A4">
            <w:pPr>
              <w:spacing w:after="160" w:line="259" w:lineRule="auto"/>
              <w:rPr>
                <w:b/>
                <w:bCs/>
              </w:rPr>
            </w:pPr>
            <w:r>
              <w:rPr>
                <w:b/>
                <w:bCs/>
              </w:rPr>
              <w:t>-</w:t>
            </w:r>
          </w:p>
        </w:tc>
        <w:tc>
          <w:tcPr>
            <w:tcW w:w="1191" w:type="dxa"/>
            <w:tcBorders>
              <w:top w:val="nil"/>
              <w:left w:val="outset" w:color="auto" w:sz="6" w:space="0"/>
              <w:bottom w:val="outset" w:color="auto" w:sz="6" w:space="0"/>
              <w:right w:val="outset" w:color="auto" w:sz="6" w:space="0"/>
            </w:tcBorders>
          </w:tcPr>
          <w:p w14:paraId="0F72040F">
            <w:pPr>
              <w:spacing w:after="160" w:line="259" w:lineRule="auto"/>
              <w:rPr>
                <w:b/>
                <w:bCs/>
              </w:rPr>
            </w:pPr>
            <w:r>
              <w:rPr>
                <w:b/>
                <w:bCs/>
              </w:rPr>
              <w:t>-</w:t>
            </w:r>
          </w:p>
        </w:tc>
        <w:tc>
          <w:tcPr>
            <w:tcW w:w="1178" w:type="dxa"/>
            <w:tcBorders>
              <w:top w:val="nil"/>
              <w:left w:val="outset" w:color="auto" w:sz="6" w:space="0"/>
              <w:bottom w:val="outset" w:color="auto" w:sz="6" w:space="0"/>
              <w:right w:val="outset" w:color="auto" w:sz="6" w:space="0"/>
            </w:tcBorders>
            <w:shd w:val="clear" w:color="auto" w:fill="FFFFFF"/>
          </w:tcPr>
          <w:p w14:paraId="04C5AD68">
            <w:pPr>
              <w:spacing w:after="160" w:line="259" w:lineRule="auto"/>
              <w:rPr>
                <w:bCs/>
              </w:rPr>
            </w:pPr>
            <w:r>
              <w:rPr>
                <w:b/>
                <w:bCs/>
              </w:rPr>
              <w:t xml:space="preserve">       </w:t>
            </w:r>
            <w:r>
              <w:rPr>
                <w:bCs/>
              </w:rPr>
              <w:t>-</w:t>
            </w:r>
          </w:p>
        </w:tc>
        <w:tc>
          <w:tcPr>
            <w:tcW w:w="1295" w:type="dxa"/>
            <w:tcBorders>
              <w:top w:val="nil"/>
              <w:left w:val="outset" w:color="auto" w:sz="6" w:space="0"/>
              <w:bottom w:val="outset" w:color="auto" w:sz="6" w:space="0"/>
              <w:right w:val="outset" w:color="auto" w:sz="6" w:space="0"/>
            </w:tcBorders>
            <w:shd w:val="clear" w:color="auto" w:fill="FFFFFF"/>
          </w:tcPr>
          <w:p w14:paraId="0E0E904A">
            <w:pPr>
              <w:spacing w:after="160" w:line="259" w:lineRule="auto"/>
              <w:rPr>
                <w:b/>
                <w:bCs/>
              </w:rPr>
            </w:pPr>
            <w:r>
              <w:rPr>
                <w:b/>
                <w:bCs/>
              </w:rPr>
              <w:t>-</w:t>
            </w:r>
          </w:p>
        </w:tc>
        <w:tc>
          <w:tcPr>
            <w:tcW w:w="1295" w:type="dxa"/>
            <w:tcBorders>
              <w:top w:val="nil"/>
              <w:left w:val="outset" w:color="auto" w:sz="6" w:space="0"/>
              <w:bottom w:val="outset" w:color="auto" w:sz="6" w:space="0"/>
              <w:right w:val="outset" w:color="auto" w:sz="6" w:space="0"/>
            </w:tcBorders>
            <w:shd w:val="clear" w:color="auto" w:fill="FFFFFF"/>
          </w:tcPr>
          <w:p w14:paraId="1618444B">
            <w:pPr>
              <w:spacing w:after="160" w:line="259" w:lineRule="auto"/>
              <w:rPr>
                <w:rFonts w:hint="default"/>
                <w:b/>
                <w:bCs/>
                <w:lang w:val="pt-BR"/>
              </w:rPr>
            </w:pPr>
            <w:r>
              <w:rPr>
                <w:rFonts w:hint="default"/>
                <w:b/>
                <w:bCs/>
                <w:lang w:val="pt-BR"/>
              </w:rPr>
              <w:t>...</w:t>
            </w:r>
          </w:p>
        </w:tc>
      </w:tr>
      <w:tr w14:paraId="4867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736" w:type="dxa"/>
            <w:gridSpan w:val="10"/>
            <w:tcBorders>
              <w:top w:val="nil"/>
              <w:left w:val="nil"/>
              <w:bottom w:val="nil"/>
              <w:right w:val="nil"/>
            </w:tcBorders>
          </w:tcPr>
          <w:tbl>
            <w:tblPr>
              <w:tblStyle w:val="3"/>
              <w:tblW w:w="0" w:type="auto"/>
              <w:tblInd w:w="0" w:type="dxa"/>
              <w:tblLayout w:type="autofit"/>
              <w:tblCellMar>
                <w:top w:w="15" w:type="dxa"/>
                <w:left w:w="15" w:type="dxa"/>
                <w:bottom w:w="15" w:type="dxa"/>
                <w:right w:w="15" w:type="dxa"/>
              </w:tblCellMar>
            </w:tblPr>
            <w:tblGrid>
              <w:gridCol w:w="6450"/>
            </w:tblGrid>
            <w:tr w14:paraId="3ADF69D2">
              <w:tblPrEx>
                <w:tblCellMar>
                  <w:top w:w="15" w:type="dxa"/>
                  <w:left w:w="15" w:type="dxa"/>
                  <w:bottom w:w="15" w:type="dxa"/>
                  <w:right w:w="15" w:type="dxa"/>
                </w:tblCellMar>
              </w:tblPrEx>
              <w:tc>
                <w:tcPr>
                  <w:tcW w:w="6450" w:type="dxa"/>
                  <w:tcBorders>
                    <w:top w:val="nil"/>
                    <w:left w:val="nil"/>
                    <w:bottom w:val="nil"/>
                    <w:right w:val="nil"/>
                  </w:tcBorders>
                </w:tcPr>
                <w:p w14:paraId="1ECA923A">
                  <w:r>
                    <w:t>Fonte: INEP - Censo Escolar da Educação Básica</w:t>
                  </w:r>
                </w:p>
              </w:tc>
            </w:tr>
            <w:tr w14:paraId="09226D0B">
              <w:tblPrEx>
                <w:tblCellMar>
                  <w:top w:w="15" w:type="dxa"/>
                  <w:left w:w="15" w:type="dxa"/>
                  <w:bottom w:w="15" w:type="dxa"/>
                  <w:right w:w="15" w:type="dxa"/>
                </w:tblCellMar>
              </w:tblPrEx>
              <w:tc>
                <w:tcPr>
                  <w:tcW w:w="6450" w:type="dxa"/>
                  <w:tcBorders>
                    <w:top w:val="nil"/>
                    <w:left w:val="nil"/>
                    <w:bottom w:val="nil"/>
                    <w:right w:val="nil"/>
                  </w:tcBorders>
                </w:tcPr>
                <w:tbl>
                  <w:tblPr>
                    <w:tblStyle w:val="3"/>
                    <w:tblW w:w="0" w:type="auto"/>
                    <w:tblInd w:w="0" w:type="dxa"/>
                    <w:tblLayout w:type="autofit"/>
                    <w:tblCellMar>
                      <w:top w:w="15" w:type="dxa"/>
                      <w:left w:w="15" w:type="dxa"/>
                      <w:bottom w:w="15" w:type="dxa"/>
                      <w:right w:w="15" w:type="dxa"/>
                    </w:tblCellMar>
                  </w:tblPr>
                  <w:tblGrid>
                    <w:gridCol w:w="6420"/>
                  </w:tblGrid>
                  <w:tr w14:paraId="57CF2D5A">
                    <w:tblPrEx>
                      <w:tblCellMar>
                        <w:top w:w="15" w:type="dxa"/>
                        <w:left w:w="15" w:type="dxa"/>
                        <w:bottom w:w="15" w:type="dxa"/>
                        <w:right w:w="15" w:type="dxa"/>
                      </w:tblCellMar>
                    </w:tblPrEx>
                    <w:tc>
                      <w:tcPr>
                        <w:tcW w:w="6450" w:type="dxa"/>
                        <w:tcBorders>
                          <w:top w:val="nil"/>
                          <w:left w:val="nil"/>
                          <w:bottom w:val="nil"/>
                          <w:right w:val="nil"/>
                        </w:tcBorders>
                      </w:tcPr>
                      <w:p w14:paraId="203C8AE5">
                        <w:r>
                          <w:t>Notas:</w:t>
                        </w:r>
                      </w:p>
                    </w:tc>
                  </w:tr>
                  <w:tr w14:paraId="0A34F4A8">
                    <w:tblPrEx>
                      <w:tblCellMar>
                        <w:top w:w="15" w:type="dxa"/>
                        <w:left w:w="15" w:type="dxa"/>
                        <w:bottom w:w="15" w:type="dxa"/>
                        <w:right w:w="15" w:type="dxa"/>
                      </w:tblCellMar>
                    </w:tblPrEx>
                    <w:tc>
                      <w:tcPr>
                        <w:tcW w:w="6450" w:type="dxa"/>
                        <w:tcBorders>
                          <w:top w:val="nil"/>
                          <w:left w:val="nil"/>
                          <w:bottom w:val="nil"/>
                          <w:right w:val="nil"/>
                        </w:tcBorders>
                      </w:tcPr>
                      <w:p w14:paraId="055C550E">
                        <w:r>
                          <w:t>- (sem oferta)</w:t>
                        </w:r>
                      </w:p>
                    </w:tc>
                  </w:tr>
                  <w:tr w14:paraId="55F2DC95">
                    <w:tblPrEx>
                      <w:tblCellMar>
                        <w:top w:w="15" w:type="dxa"/>
                        <w:left w:w="15" w:type="dxa"/>
                        <w:bottom w:w="15" w:type="dxa"/>
                        <w:right w:w="15" w:type="dxa"/>
                      </w:tblCellMar>
                    </w:tblPrEx>
                    <w:tc>
                      <w:tcPr>
                        <w:tcW w:w="6450" w:type="dxa"/>
                        <w:tcBorders>
                          <w:top w:val="nil"/>
                          <w:left w:val="nil"/>
                          <w:bottom w:val="nil"/>
                          <w:right w:val="nil"/>
                        </w:tcBorders>
                      </w:tcPr>
                      <w:p w14:paraId="492052E8">
                        <w:r>
                          <w:t>... (somente pública)</w:t>
                        </w:r>
                      </w:p>
                    </w:tc>
                  </w:tr>
                  <w:tr w14:paraId="12AFEAF6">
                    <w:tblPrEx>
                      <w:tblCellMar>
                        <w:top w:w="15" w:type="dxa"/>
                        <w:left w:w="15" w:type="dxa"/>
                        <w:bottom w:w="15" w:type="dxa"/>
                        <w:right w:w="15" w:type="dxa"/>
                      </w:tblCellMar>
                    </w:tblPrEx>
                    <w:tc>
                      <w:tcPr>
                        <w:tcW w:w="6450" w:type="dxa"/>
                        <w:tcBorders>
                          <w:top w:val="nil"/>
                          <w:left w:val="nil"/>
                          <w:bottom w:val="nil"/>
                          <w:right w:val="nil"/>
                        </w:tcBorders>
                      </w:tcPr>
                      <w:p w14:paraId="64B0E6C6">
                        <w:r>
                          <w:t>0 (somente privada)</w:t>
                        </w:r>
                      </w:p>
                    </w:tc>
                  </w:tr>
                  <w:tr w14:paraId="37EF71D7">
                    <w:tblPrEx>
                      <w:tblCellMar>
                        <w:top w:w="15" w:type="dxa"/>
                        <w:left w:w="15" w:type="dxa"/>
                        <w:bottom w:w="15" w:type="dxa"/>
                        <w:right w:w="15" w:type="dxa"/>
                      </w:tblCellMar>
                    </w:tblPrEx>
                    <w:tc>
                      <w:tcPr>
                        <w:tcW w:w="6450" w:type="dxa"/>
                        <w:tcBorders>
                          <w:top w:val="nil"/>
                          <w:left w:val="nil"/>
                          <w:bottom w:val="nil"/>
                          <w:right w:val="nil"/>
                        </w:tcBorders>
                      </w:tcPr>
                      <w:p w14:paraId="5DB5B952">
                        <w:r>
                          <w:t>X (expansão negativa)</w:t>
                        </w:r>
                      </w:p>
                    </w:tc>
                  </w:tr>
                </w:tbl>
                <w:p w14:paraId="2BE2ABAC"/>
              </w:tc>
            </w:tr>
          </w:tbl>
          <w:p w14:paraId="68ECE7FC">
            <w:pPr>
              <w:spacing w:after="160" w:line="259" w:lineRule="auto"/>
            </w:pPr>
          </w:p>
        </w:tc>
        <w:tc>
          <w:tcPr>
            <w:tcW w:w="1295" w:type="dxa"/>
            <w:tcBorders>
              <w:top w:val="nil"/>
              <w:left w:val="nil"/>
              <w:bottom w:val="nil"/>
              <w:right w:val="nil"/>
            </w:tcBorders>
          </w:tcPr>
          <w:p w14:paraId="75840FB9">
            <w:pPr>
              <w:spacing w:after="160" w:line="259" w:lineRule="auto"/>
            </w:pPr>
          </w:p>
        </w:tc>
      </w:tr>
    </w:tbl>
    <w:p w14:paraId="70EDD935"/>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5"/>
        <w:gridCol w:w="7111"/>
      </w:tblGrid>
      <w:tr w14:paraId="63B4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72A1A4AC">
            <w:pPr>
              <w:pStyle w:val="16"/>
              <w:numPr>
                <w:ilvl w:val="0"/>
                <w:numId w:val="0"/>
              </w:numPr>
              <w:jc w:val="center"/>
              <w:rPr>
                <w:rFonts w:hint="default"/>
                <w:b/>
                <w:vertAlign w:val="baseline"/>
                <w:lang w:val="pt-BR"/>
              </w:rPr>
            </w:pPr>
            <w:r>
              <w:rPr>
                <w:rFonts w:hint="default"/>
                <w:b/>
                <w:vertAlign w:val="baseline"/>
                <w:lang w:val="pt-BR"/>
              </w:rPr>
              <w:t>Ficha metodológica para o indicador 11C</w:t>
            </w:r>
            <w:r>
              <w:rPr>
                <w:rFonts w:hint="default"/>
                <w:b/>
                <w:bCs w:val="0"/>
                <w:vertAlign w:val="baseline"/>
                <w:lang w:val="pt-BR"/>
              </w:rPr>
              <w:t xml:space="preserve"> </w:t>
            </w:r>
            <w:r>
              <w:rPr>
                <w:rFonts w:hint="default"/>
                <w:b/>
                <w:vertAlign w:val="baseline"/>
                <w:lang w:val="pt-BR"/>
              </w:rPr>
              <w:t>- base PNE</w:t>
            </w:r>
          </w:p>
        </w:tc>
      </w:tr>
      <w:tr w14:paraId="001F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outset" w:color="auto" w:sz="6" w:space="0"/>
              <w:left w:val="outset" w:color="auto" w:sz="6" w:space="0"/>
              <w:bottom w:val="outset" w:color="auto" w:sz="6" w:space="0"/>
              <w:right w:val="outset" w:color="auto" w:sz="6" w:space="0"/>
            </w:tcBorders>
          </w:tcPr>
          <w:p w14:paraId="2C60FE68">
            <w:pPr>
              <w:spacing w:after="160" w:line="259" w:lineRule="auto"/>
              <w:rPr>
                <w:b/>
              </w:rPr>
            </w:pPr>
            <w:r>
              <w:rPr>
                <w:b/>
              </w:rPr>
              <w:t>Meta</w:t>
            </w:r>
          </w:p>
        </w:tc>
        <w:tc>
          <w:tcPr>
            <w:tcW w:w="7111" w:type="dxa"/>
            <w:tcBorders>
              <w:top w:val="outset" w:color="auto" w:sz="6" w:space="0"/>
              <w:left w:val="outset" w:color="auto" w:sz="6" w:space="0"/>
              <w:bottom w:val="outset" w:color="auto" w:sz="6" w:space="0"/>
              <w:right w:val="outset" w:color="auto" w:sz="6" w:space="0"/>
            </w:tcBorders>
          </w:tcPr>
          <w:p w14:paraId="0D72B204">
            <w:pPr>
              <w:spacing w:after="160" w:line="259" w:lineRule="auto"/>
              <w:rPr>
                <w:b/>
              </w:rPr>
            </w:pPr>
            <w:r>
              <w:rPr>
                <w:b/>
              </w:rPr>
              <w:t>Texto da meta</w:t>
            </w:r>
          </w:p>
        </w:tc>
      </w:tr>
      <w:tr w14:paraId="3FE4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nil"/>
              <w:left w:val="outset" w:color="auto" w:sz="6" w:space="0"/>
              <w:bottom w:val="outset" w:color="auto" w:sz="6" w:space="0"/>
              <w:right w:val="outset" w:color="auto" w:sz="6" w:space="0"/>
            </w:tcBorders>
          </w:tcPr>
          <w:p w14:paraId="05CF868D">
            <w:pPr>
              <w:spacing w:after="160" w:line="259" w:lineRule="auto"/>
            </w:pPr>
            <w:r>
              <w:t>11</w:t>
            </w:r>
          </w:p>
        </w:tc>
        <w:tc>
          <w:tcPr>
            <w:tcW w:w="7111" w:type="dxa"/>
            <w:tcBorders>
              <w:top w:val="nil"/>
              <w:left w:val="outset" w:color="auto" w:sz="6" w:space="0"/>
              <w:bottom w:val="outset" w:color="auto" w:sz="6" w:space="0"/>
              <w:right w:val="outset" w:color="auto" w:sz="6" w:space="0"/>
            </w:tcBorders>
          </w:tcPr>
          <w:p w14:paraId="279125AA">
            <w:pPr>
              <w:spacing w:after="160" w:line="259" w:lineRule="auto"/>
              <w:jc w:val="both"/>
              <w:rPr>
                <w:rFonts w:hint="default"/>
                <w:lang w:val="pt-BR"/>
              </w:rPr>
            </w:pPr>
            <w:r>
              <w:rPr>
                <w:b/>
                <w:bCs/>
              </w:rPr>
              <w:t xml:space="preserve"> </w:t>
            </w:r>
            <w:r>
              <w:rPr>
                <w:rFonts w:hint="default"/>
                <w:bCs/>
                <w:lang w:val="pt-BR"/>
              </w:rPr>
              <w:t>Triplicar as matrículas da educação profissional técnica de nível médio, assegurando a qualidade da oferta e pelo menos 50% (cinquenta por cento) da expansão no segmento público.</w:t>
            </w:r>
          </w:p>
        </w:tc>
      </w:tr>
      <w:tr w14:paraId="77E3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outset" w:color="auto" w:sz="6" w:space="0"/>
              <w:left w:val="outset" w:color="auto" w:sz="6" w:space="0"/>
              <w:bottom w:val="outset" w:color="auto" w:sz="6" w:space="0"/>
              <w:right w:val="outset" w:color="auto" w:sz="6" w:space="0"/>
            </w:tcBorders>
          </w:tcPr>
          <w:p w14:paraId="70539A31">
            <w:pPr>
              <w:spacing w:after="160" w:line="259" w:lineRule="auto"/>
              <w:rPr>
                <w:rFonts w:hint="default"/>
                <w:lang w:val="pt-BR"/>
              </w:rPr>
            </w:pPr>
            <w:r>
              <w:t xml:space="preserve">Indicador </w:t>
            </w:r>
            <w:r>
              <w:rPr>
                <w:rFonts w:hint="default"/>
                <w:lang w:val="pt-BR"/>
              </w:rPr>
              <w:t>11C Nacional</w:t>
            </w:r>
          </w:p>
        </w:tc>
        <w:tc>
          <w:tcPr>
            <w:tcW w:w="7111" w:type="dxa"/>
            <w:tcBorders>
              <w:top w:val="outset" w:color="auto" w:sz="6" w:space="0"/>
              <w:left w:val="outset" w:color="auto" w:sz="6" w:space="0"/>
              <w:bottom w:val="outset" w:color="auto" w:sz="6" w:space="0"/>
              <w:right w:val="outset" w:color="auto" w:sz="6" w:space="0"/>
            </w:tcBorders>
          </w:tcPr>
          <w:p w14:paraId="032876FD">
            <w:pPr>
              <w:spacing w:after="160" w:line="259" w:lineRule="auto"/>
              <w:rPr>
                <w:rFonts w:hint="default"/>
                <w:lang w:val="pt-BR"/>
              </w:rPr>
            </w:pPr>
            <w:r>
              <w:t>Expansão acumulada da EPT de Nível Médio pública</w:t>
            </w:r>
            <w:r>
              <w:rPr>
                <w:rFonts w:hint="default"/>
                <w:lang w:val="pt-BR"/>
              </w:rPr>
              <w:t>.</w:t>
            </w:r>
          </w:p>
        </w:tc>
      </w:tr>
      <w:tr w14:paraId="0E4C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outset" w:color="auto" w:sz="6" w:space="0"/>
              <w:left w:val="outset" w:color="auto" w:sz="6" w:space="0"/>
              <w:bottom w:val="outset" w:color="auto" w:sz="6" w:space="0"/>
              <w:right w:val="outset" w:color="auto" w:sz="6" w:space="0"/>
            </w:tcBorders>
          </w:tcPr>
          <w:p w14:paraId="0D8EF466">
            <w:pPr>
              <w:spacing w:after="160" w:line="259" w:lineRule="auto"/>
              <w:rPr>
                <w:rFonts w:hint="default"/>
                <w:lang w:val="pt-BR"/>
              </w:rPr>
            </w:pPr>
            <w:r>
              <w:rPr>
                <w:rFonts w:hint="default"/>
                <w:lang w:val="pt-BR"/>
              </w:rPr>
              <w:t>Indicador 11C Proposto</w:t>
            </w:r>
          </w:p>
        </w:tc>
        <w:tc>
          <w:tcPr>
            <w:tcW w:w="7111" w:type="dxa"/>
            <w:tcBorders>
              <w:top w:val="outset" w:color="auto" w:sz="6" w:space="0"/>
              <w:left w:val="outset" w:color="auto" w:sz="6" w:space="0"/>
              <w:bottom w:val="outset" w:color="auto" w:sz="6" w:space="0"/>
              <w:right w:val="outset" w:color="auto" w:sz="6" w:space="0"/>
            </w:tcBorders>
          </w:tcPr>
          <w:p w14:paraId="7F135322">
            <w:pPr>
              <w:spacing w:after="160" w:line="259" w:lineRule="auto"/>
              <w:rPr>
                <w:rFonts w:hint="default"/>
                <w:lang w:val="pt-BR"/>
              </w:rPr>
            </w:pPr>
            <w:r>
              <w:rPr>
                <w:rFonts w:hint="default"/>
                <w:lang w:val="pt-BR"/>
              </w:rPr>
              <w:t>Replicar o nacional</w:t>
            </w:r>
          </w:p>
        </w:tc>
      </w:tr>
      <w:tr w14:paraId="562D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nil"/>
              <w:left w:val="outset" w:color="auto" w:sz="6" w:space="0"/>
              <w:bottom w:val="outset" w:color="auto" w:sz="6" w:space="0"/>
              <w:right w:val="outset" w:color="auto" w:sz="6" w:space="0"/>
            </w:tcBorders>
          </w:tcPr>
          <w:p w14:paraId="7C8D33F0">
            <w:pPr>
              <w:spacing w:after="160" w:line="259" w:lineRule="auto"/>
            </w:pPr>
            <w:r>
              <w:t>Fórmula de cálculo</w:t>
            </w:r>
          </w:p>
        </w:tc>
        <w:tc>
          <w:tcPr>
            <w:tcW w:w="7111"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7045"/>
              <w:gridCol w:w="36"/>
            </w:tblGrid>
            <w:tr w14:paraId="5225B638">
              <w:tblPrEx>
                <w:tblCellMar>
                  <w:top w:w="15" w:type="dxa"/>
                  <w:left w:w="15" w:type="dxa"/>
                  <w:bottom w:w="15" w:type="dxa"/>
                  <w:right w:w="15" w:type="dxa"/>
                </w:tblCellMar>
              </w:tblPrEx>
              <w:tc>
                <w:tcPr>
                  <w:tcW w:w="0" w:type="auto"/>
                  <w:tcBorders>
                    <w:top w:val="nil"/>
                    <w:left w:val="nil"/>
                    <w:bottom w:val="nil"/>
                    <w:right w:val="nil"/>
                  </w:tcBorders>
                </w:tcPr>
                <w:p w14:paraId="2E82753D">
                  <w:pPr>
                    <w:jc w:val="both"/>
                    <w:rPr>
                      <w:rFonts w:hint="default"/>
                      <w:lang w:val="pt-BR"/>
                    </w:rPr>
                  </w:pPr>
                  <w:r>
                    <w:t>(Matrículas no ano - matrículas em 2013) público / (Matrículas em 2013) público) x 100</w:t>
                  </w:r>
                  <w:r>
                    <w:rPr>
                      <w:rFonts w:hint="default"/>
                      <w:lang w:val="pt-BR"/>
                    </w:rPr>
                    <w:t>.</w:t>
                  </w:r>
                </w:p>
              </w:tc>
              <w:tc>
                <w:tcPr>
                  <w:tcW w:w="0" w:type="auto"/>
                  <w:tcBorders>
                    <w:top w:val="nil"/>
                    <w:left w:val="nil"/>
                    <w:bottom w:val="nil"/>
                    <w:right w:val="nil"/>
                  </w:tcBorders>
                </w:tcPr>
                <w:p w14:paraId="4E1704CD"/>
              </w:tc>
            </w:tr>
          </w:tbl>
          <w:p w14:paraId="2BE1E1BB">
            <w:pPr>
              <w:spacing w:after="160" w:line="259" w:lineRule="auto"/>
            </w:pPr>
          </w:p>
        </w:tc>
      </w:tr>
      <w:tr w14:paraId="5B53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25" w:type="dxa"/>
            <w:tcBorders>
              <w:top w:val="nil"/>
              <w:left w:val="outset" w:color="auto" w:sz="6" w:space="0"/>
              <w:bottom w:val="outset" w:color="auto" w:sz="6" w:space="0"/>
              <w:right w:val="outset" w:color="auto" w:sz="6" w:space="0"/>
            </w:tcBorders>
          </w:tcPr>
          <w:p w14:paraId="6781B8D6">
            <w:pPr>
              <w:spacing w:after="160" w:line="259" w:lineRule="auto"/>
            </w:pPr>
            <w:r>
              <w:t>Comentário.</w:t>
            </w:r>
          </w:p>
        </w:tc>
        <w:tc>
          <w:tcPr>
            <w:tcW w:w="7111"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36"/>
              <w:gridCol w:w="7045"/>
            </w:tblGrid>
            <w:tr w14:paraId="3B369CDB">
              <w:tc>
                <w:tcPr>
                  <w:tcW w:w="0" w:type="auto"/>
                  <w:tcBorders>
                    <w:top w:val="nil"/>
                    <w:left w:val="nil"/>
                    <w:bottom w:val="nil"/>
                    <w:right w:val="nil"/>
                  </w:tcBorders>
                </w:tcPr>
                <w:p w14:paraId="1E4B4A3B"/>
              </w:tc>
              <w:tc>
                <w:tcPr>
                  <w:tcW w:w="0" w:type="auto"/>
                  <w:tcBorders>
                    <w:top w:val="nil"/>
                    <w:left w:val="nil"/>
                    <w:bottom w:val="nil"/>
                    <w:right w:val="nil"/>
                  </w:tcBorders>
                </w:tcPr>
                <w:p w14:paraId="2042C9A9">
                  <w:pPr>
                    <w:jc w:val="both"/>
                    <w:rPr>
                      <w:b/>
                    </w:rPr>
                  </w:pPr>
                  <w:r>
                    <w:t xml:space="preserve">Calculado conforme Relatório do 3º Ciclo de Monitoramento das Metas do Plano Nacional de Educação - 2020 (INEP). </w:t>
                  </w:r>
                </w:p>
              </w:tc>
            </w:tr>
          </w:tbl>
          <w:p w14:paraId="5DD42912">
            <w:pPr>
              <w:spacing w:after="160" w:line="259" w:lineRule="auto"/>
            </w:pPr>
          </w:p>
        </w:tc>
      </w:tr>
    </w:tbl>
    <w:p w14:paraId="3EFCA84C">
      <w:pPr>
        <w:rPr>
          <w:b/>
        </w:rPr>
      </w:pPr>
      <w:r>
        <w:rPr>
          <w:b/>
        </w:rPr>
        <w:t xml:space="preserve"> </w:t>
      </w:r>
    </w:p>
    <w:p w14:paraId="2A4F39FE">
      <w:pPr>
        <w:rPr>
          <w:rFonts w:hint="default"/>
          <w:b/>
          <w:lang w:val="pt-BR"/>
        </w:rPr>
      </w:pPr>
      <w:r>
        <w:rPr>
          <w:b/>
        </w:rPr>
        <w:t xml:space="preserve"> </w:t>
      </w:r>
      <w:r>
        <w:rPr>
          <w:rFonts w:hint="default"/>
          <w:b/>
          <w:lang w:val="pt-BR"/>
        </w:rPr>
        <w:t>Dados/Indicadores: indicador 11C</w:t>
      </w:r>
    </w:p>
    <w:tbl>
      <w:tblPr>
        <w:tblStyle w:val="9"/>
        <w:tblW w:w="13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474"/>
        <w:gridCol w:w="1860"/>
        <w:gridCol w:w="1077"/>
      </w:tblGrid>
      <w:tr w14:paraId="2137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34" w:type="dxa"/>
            <w:gridSpan w:val="2"/>
            <w:tcBorders>
              <w:top w:val="nil"/>
              <w:left w:val="nil"/>
              <w:bottom w:val="nil"/>
              <w:right w:val="nil"/>
            </w:tcBorders>
          </w:tcPr>
          <w:tbl>
            <w:tblPr>
              <w:tblStyle w:val="9"/>
              <w:tblW w:w="137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03"/>
              <w:gridCol w:w="1050"/>
              <w:gridCol w:w="1064"/>
              <w:gridCol w:w="1172"/>
              <w:gridCol w:w="1119"/>
              <w:gridCol w:w="1118"/>
              <w:gridCol w:w="1091"/>
              <w:gridCol w:w="1172"/>
              <w:gridCol w:w="1187"/>
              <w:gridCol w:w="1063"/>
              <w:gridCol w:w="1875"/>
              <w:gridCol w:w="240"/>
              <w:gridCol w:w="240"/>
              <w:gridCol w:w="240"/>
            </w:tblGrid>
            <w:tr w14:paraId="7181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5" w:hRule="atLeast"/>
              </w:trPr>
              <w:tc>
                <w:tcPr>
                  <w:tcW w:w="1103" w:type="dxa"/>
                  <w:tcBorders>
                    <w:top w:val="outset" w:color="auto" w:sz="6" w:space="0"/>
                    <w:left w:val="outset" w:color="auto" w:sz="6" w:space="0"/>
                    <w:bottom w:val="outset" w:color="auto" w:sz="6" w:space="0"/>
                    <w:right w:val="outset" w:color="auto" w:sz="6" w:space="0"/>
                  </w:tcBorders>
                </w:tcPr>
                <w:p w14:paraId="50C5842C">
                  <w:pPr>
                    <w:spacing w:after="160" w:line="259" w:lineRule="auto"/>
                    <w:rPr>
                      <w:rFonts w:hint="default"/>
                      <w:lang w:val="pt-BR"/>
                    </w:rPr>
                  </w:pPr>
                  <w:r>
                    <w:rPr>
                      <w:rFonts w:hint="default"/>
                      <w:lang w:val="pt-BR"/>
                    </w:rPr>
                    <w:t>Ano</w:t>
                  </w:r>
                </w:p>
              </w:tc>
              <w:tc>
                <w:tcPr>
                  <w:tcW w:w="1050" w:type="dxa"/>
                  <w:tcBorders>
                    <w:top w:val="outset" w:color="auto" w:sz="6" w:space="0"/>
                    <w:left w:val="outset" w:color="auto" w:sz="6" w:space="0"/>
                    <w:bottom w:val="outset" w:color="auto" w:sz="6" w:space="0"/>
                    <w:right w:val="outset" w:color="auto" w:sz="6" w:space="0"/>
                  </w:tcBorders>
                </w:tcPr>
                <w:p w14:paraId="3B5922BA">
                  <w:pPr>
                    <w:spacing w:after="160" w:line="259" w:lineRule="auto"/>
                  </w:pPr>
                  <w:r>
                    <w:rPr>
                      <w:bCs/>
                    </w:rPr>
                    <w:t>Expansão 2013-2014</w:t>
                  </w:r>
                </w:p>
              </w:tc>
              <w:tc>
                <w:tcPr>
                  <w:tcW w:w="1064" w:type="dxa"/>
                  <w:tcBorders>
                    <w:top w:val="outset" w:color="auto" w:sz="6" w:space="0"/>
                    <w:left w:val="outset" w:color="auto" w:sz="6" w:space="0"/>
                    <w:bottom w:val="outset" w:color="auto" w:sz="6" w:space="0"/>
                    <w:right w:val="outset" w:color="auto" w:sz="6" w:space="0"/>
                  </w:tcBorders>
                </w:tcPr>
                <w:p w14:paraId="1C528126">
                  <w:pPr>
                    <w:spacing w:after="160" w:line="259" w:lineRule="auto"/>
                    <w:rPr>
                      <w:bCs/>
                    </w:rPr>
                  </w:pPr>
                  <w:r>
                    <w:rPr>
                      <w:bCs/>
                    </w:rPr>
                    <w:t>Expansão</w:t>
                  </w:r>
                </w:p>
                <w:p w14:paraId="18BA2C05">
                  <w:pPr>
                    <w:spacing w:after="160" w:line="259" w:lineRule="auto"/>
                  </w:pPr>
                  <w:r>
                    <w:rPr>
                      <w:bCs/>
                    </w:rPr>
                    <w:t xml:space="preserve"> 2013-2015</w:t>
                  </w:r>
                </w:p>
              </w:tc>
              <w:tc>
                <w:tcPr>
                  <w:tcW w:w="1172" w:type="dxa"/>
                  <w:tcBorders>
                    <w:top w:val="outset" w:color="auto" w:sz="6" w:space="0"/>
                    <w:left w:val="outset" w:color="auto" w:sz="6" w:space="0"/>
                    <w:bottom w:val="outset" w:color="auto" w:sz="6" w:space="0"/>
                    <w:right w:val="outset" w:color="auto" w:sz="6" w:space="0"/>
                  </w:tcBorders>
                </w:tcPr>
                <w:p w14:paraId="62CB64CD">
                  <w:pPr>
                    <w:spacing w:after="160" w:line="259" w:lineRule="auto"/>
                  </w:pPr>
                  <w:r>
                    <w:rPr>
                      <w:bCs/>
                    </w:rPr>
                    <w:t>Expansão 2013-2016</w:t>
                  </w:r>
                </w:p>
              </w:tc>
              <w:tc>
                <w:tcPr>
                  <w:tcW w:w="1119" w:type="dxa"/>
                  <w:tcBorders>
                    <w:top w:val="outset" w:color="auto" w:sz="6" w:space="0"/>
                    <w:left w:val="outset" w:color="auto" w:sz="6" w:space="0"/>
                    <w:bottom w:val="outset" w:color="auto" w:sz="6" w:space="0"/>
                    <w:right w:val="outset" w:color="auto" w:sz="6" w:space="0"/>
                  </w:tcBorders>
                </w:tcPr>
                <w:p w14:paraId="275B5F31">
                  <w:pPr>
                    <w:spacing w:after="160" w:line="259" w:lineRule="auto"/>
                  </w:pPr>
                  <w:r>
                    <w:rPr>
                      <w:bCs/>
                    </w:rPr>
                    <w:t>Expansão 2013-2017</w:t>
                  </w:r>
                </w:p>
              </w:tc>
              <w:tc>
                <w:tcPr>
                  <w:tcW w:w="1118" w:type="dxa"/>
                  <w:tcBorders>
                    <w:top w:val="outset" w:color="auto" w:sz="6" w:space="0"/>
                    <w:left w:val="outset" w:color="auto" w:sz="6" w:space="0"/>
                    <w:bottom w:val="outset" w:color="auto" w:sz="6" w:space="0"/>
                    <w:right w:val="outset" w:color="auto" w:sz="6" w:space="0"/>
                  </w:tcBorders>
                </w:tcPr>
                <w:p w14:paraId="3208657A">
                  <w:pPr>
                    <w:spacing w:after="160" w:line="259" w:lineRule="auto"/>
                  </w:pPr>
                  <w:r>
                    <w:rPr>
                      <w:bCs/>
                    </w:rPr>
                    <w:t>Expansão 2013-2018</w:t>
                  </w:r>
                </w:p>
              </w:tc>
              <w:tc>
                <w:tcPr>
                  <w:tcW w:w="1091" w:type="dxa"/>
                  <w:tcBorders>
                    <w:top w:val="outset" w:color="auto" w:sz="6" w:space="0"/>
                    <w:left w:val="outset" w:color="auto" w:sz="6" w:space="0"/>
                    <w:bottom w:val="outset" w:color="auto" w:sz="6" w:space="0"/>
                    <w:right w:val="outset" w:color="auto" w:sz="6" w:space="0"/>
                  </w:tcBorders>
                </w:tcPr>
                <w:p w14:paraId="0D21102A">
                  <w:pPr>
                    <w:spacing w:after="160" w:line="259" w:lineRule="auto"/>
                    <w:rPr>
                      <w:bCs/>
                    </w:rPr>
                  </w:pPr>
                  <w:r>
                    <w:rPr>
                      <w:bCs/>
                    </w:rPr>
                    <w:t>Expansão 2013-2019</w:t>
                  </w:r>
                </w:p>
              </w:tc>
              <w:tc>
                <w:tcPr>
                  <w:tcW w:w="1172" w:type="dxa"/>
                  <w:tcBorders>
                    <w:top w:val="outset" w:color="auto" w:sz="6" w:space="0"/>
                    <w:left w:val="outset" w:color="auto" w:sz="6" w:space="0"/>
                    <w:bottom w:val="outset" w:color="auto" w:sz="6" w:space="0"/>
                    <w:right w:val="outset" w:color="auto" w:sz="6" w:space="0"/>
                  </w:tcBorders>
                </w:tcPr>
                <w:p w14:paraId="3216A009">
                  <w:pPr>
                    <w:spacing w:after="160" w:line="259" w:lineRule="auto"/>
                    <w:rPr>
                      <w:bCs/>
                    </w:rPr>
                  </w:pPr>
                  <w:r>
                    <w:rPr>
                      <w:bCs/>
                    </w:rPr>
                    <w:t>Expansão 2013-2019</w:t>
                  </w:r>
                </w:p>
              </w:tc>
              <w:tc>
                <w:tcPr>
                  <w:tcW w:w="1187" w:type="dxa"/>
                  <w:tcBorders>
                    <w:top w:val="outset" w:color="auto" w:sz="6" w:space="0"/>
                    <w:left w:val="outset" w:color="auto" w:sz="6" w:space="0"/>
                    <w:bottom w:val="outset" w:color="auto" w:sz="6" w:space="0"/>
                    <w:right w:val="outset" w:color="auto" w:sz="6" w:space="0"/>
                  </w:tcBorders>
                </w:tcPr>
                <w:p w14:paraId="6BBDFC5D">
                  <w:pPr>
                    <w:spacing w:after="160" w:line="259" w:lineRule="auto"/>
                    <w:rPr>
                      <w:bCs/>
                    </w:rPr>
                  </w:pPr>
                  <w:r>
                    <w:rPr>
                      <w:bCs/>
                    </w:rPr>
                    <w:t>Expansão 2013-2020</w:t>
                  </w:r>
                </w:p>
              </w:tc>
              <w:tc>
                <w:tcPr>
                  <w:tcW w:w="1063" w:type="dxa"/>
                  <w:tcBorders>
                    <w:top w:val="outset" w:color="auto" w:sz="6" w:space="0"/>
                    <w:left w:val="outset" w:color="auto" w:sz="6" w:space="0"/>
                    <w:bottom w:val="outset" w:color="auto" w:sz="6" w:space="0"/>
                    <w:right w:val="outset" w:color="auto" w:sz="6" w:space="0"/>
                  </w:tcBorders>
                </w:tcPr>
                <w:p w14:paraId="6099D0C2">
                  <w:pPr>
                    <w:spacing w:after="160" w:line="259" w:lineRule="auto"/>
                    <w:rPr>
                      <w:bCs/>
                    </w:rPr>
                  </w:pPr>
                  <w:r>
                    <w:rPr>
                      <w:bCs/>
                    </w:rPr>
                    <w:t>Expansão 2013-2021</w:t>
                  </w:r>
                </w:p>
              </w:tc>
              <w:tc>
                <w:tcPr>
                  <w:tcW w:w="1875" w:type="dxa"/>
                  <w:tcBorders>
                    <w:top w:val="outset" w:color="auto" w:sz="6" w:space="0"/>
                    <w:left w:val="outset" w:color="auto" w:sz="6" w:space="0"/>
                    <w:bottom w:val="outset" w:color="auto" w:sz="6" w:space="0"/>
                    <w:right w:val="outset" w:color="auto" w:sz="6" w:space="0"/>
                  </w:tcBorders>
                </w:tcPr>
                <w:p w14:paraId="1C6170DA">
                  <w:pPr>
                    <w:spacing w:after="160" w:line="259" w:lineRule="auto"/>
                    <w:rPr>
                      <w:rFonts w:hint="default"/>
                      <w:bCs/>
                      <w:lang w:val="pt-BR"/>
                    </w:rPr>
                  </w:pPr>
                  <w:r>
                    <w:rPr>
                      <w:rFonts w:hint="default"/>
                      <w:bCs/>
                      <w:lang w:val="pt-BR"/>
                    </w:rPr>
                    <w:t>Expansão</w:t>
                  </w:r>
                </w:p>
                <w:p w14:paraId="19A9BE5D">
                  <w:pPr>
                    <w:spacing w:after="160" w:line="259" w:lineRule="auto"/>
                    <w:rPr>
                      <w:rFonts w:hint="default"/>
                      <w:bCs/>
                      <w:lang w:val="pt-BR"/>
                    </w:rPr>
                  </w:pPr>
                  <w:r>
                    <w:rPr>
                      <w:rFonts w:hint="default"/>
                      <w:bCs/>
                      <w:lang w:val="pt-BR"/>
                    </w:rPr>
                    <w:t>2013-2022</w:t>
                  </w:r>
                </w:p>
              </w:tc>
              <w:tc>
                <w:tcPr>
                  <w:tcW w:w="240" w:type="dxa"/>
                  <w:tcBorders>
                    <w:top w:val="outset" w:color="auto" w:sz="6" w:space="0"/>
                    <w:left w:val="outset" w:color="auto" w:sz="6" w:space="0"/>
                    <w:bottom w:val="outset" w:color="auto" w:sz="6" w:space="0"/>
                    <w:right w:val="outset" w:color="auto" w:sz="6" w:space="0"/>
                  </w:tcBorders>
                </w:tcPr>
                <w:p w14:paraId="6466B17B">
                  <w:pPr>
                    <w:spacing w:after="160" w:line="259" w:lineRule="auto"/>
                    <w:rPr>
                      <w:bCs/>
                    </w:rPr>
                  </w:pPr>
                  <w:r>
                    <w:rPr>
                      <w:bCs/>
                    </w:rPr>
                    <w:t>Expansão 2013-2022</w:t>
                  </w:r>
                </w:p>
              </w:tc>
              <w:tc>
                <w:tcPr>
                  <w:tcW w:w="240" w:type="dxa"/>
                  <w:tcBorders>
                    <w:top w:val="outset" w:color="auto" w:sz="6" w:space="0"/>
                    <w:left w:val="outset" w:color="auto" w:sz="6" w:space="0"/>
                    <w:bottom w:val="outset" w:color="auto" w:sz="6" w:space="0"/>
                    <w:right w:val="outset" w:color="auto" w:sz="6" w:space="0"/>
                  </w:tcBorders>
                </w:tcPr>
                <w:p w14:paraId="72738FE5">
                  <w:pPr>
                    <w:spacing w:after="160" w:line="259" w:lineRule="auto"/>
                    <w:rPr>
                      <w:bCs/>
                    </w:rPr>
                  </w:pPr>
                </w:p>
              </w:tc>
              <w:tc>
                <w:tcPr>
                  <w:tcW w:w="240" w:type="dxa"/>
                  <w:tcBorders>
                    <w:top w:val="outset" w:color="auto" w:sz="6" w:space="0"/>
                    <w:left w:val="outset" w:color="auto" w:sz="6" w:space="0"/>
                    <w:bottom w:val="outset" w:color="auto" w:sz="6" w:space="0"/>
                    <w:right w:val="outset" w:color="auto" w:sz="6" w:space="0"/>
                  </w:tcBorders>
                </w:tcPr>
                <w:p w14:paraId="79C84533">
                  <w:pPr>
                    <w:spacing w:after="160" w:line="259" w:lineRule="auto"/>
                    <w:rPr>
                      <w:bCs/>
                    </w:rPr>
                  </w:pPr>
                </w:p>
              </w:tc>
            </w:tr>
            <w:tr w14:paraId="06DF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03" w:type="dxa"/>
                  <w:tcBorders>
                    <w:top w:val="nil"/>
                    <w:left w:val="outset" w:color="auto" w:sz="6" w:space="0"/>
                    <w:bottom w:val="outset" w:color="auto" w:sz="6" w:space="0"/>
                    <w:right w:val="outset" w:color="auto" w:sz="6" w:space="0"/>
                  </w:tcBorders>
                </w:tcPr>
                <w:p w14:paraId="56ECB988">
                  <w:pPr>
                    <w:spacing w:after="160" w:line="259" w:lineRule="auto"/>
                  </w:pPr>
                  <w:r>
                    <w:t xml:space="preserve">Indicador </w:t>
                  </w:r>
                </w:p>
              </w:tc>
              <w:tc>
                <w:tcPr>
                  <w:tcW w:w="1050" w:type="dxa"/>
                  <w:tcBorders>
                    <w:top w:val="nil"/>
                    <w:left w:val="outset" w:color="auto" w:sz="6" w:space="0"/>
                    <w:bottom w:val="outset" w:color="auto" w:sz="6" w:space="0"/>
                    <w:right w:val="outset" w:color="auto" w:sz="6" w:space="0"/>
                  </w:tcBorders>
                </w:tcPr>
                <w:p w14:paraId="74E8CD96">
                  <w:pPr>
                    <w:spacing w:after="160" w:line="259" w:lineRule="auto"/>
                    <w:rPr>
                      <w:b/>
                      <w:bCs/>
                    </w:rPr>
                  </w:pPr>
                  <w:r>
                    <w:rPr>
                      <w:b/>
                      <w:bCs/>
                    </w:rPr>
                    <w:t>-</w:t>
                  </w:r>
                </w:p>
              </w:tc>
              <w:tc>
                <w:tcPr>
                  <w:tcW w:w="1064" w:type="dxa"/>
                  <w:tcBorders>
                    <w:top w:val="nil"/>
                    <w:left w:val="outset" w:color="auto" w:sz="6" w:space="0"/>
                    <w:bottom w:val="outset" w:color="auto" w:sz="6" w:space="0"/>
                    <w:right w:val="outset" w:color="auto" w:sz="6" w:space="0"/>
                  </w:tcBorders>
                </w:tcPr>
                <w:p w14:paraId="46D1A63A">
                  <w:pPr>
                    <w:spacing w:after="160" w:line="259" w:lineRule="auto"/>
                    <w:rPr>
                      <w:b/>
                      <w:bCs/>
                    </w:rPr>
                  </w:pPr>
                  <w:r>
                    <w:rPr>
                      <w:b/>
                      <w:bCs/>
                    </w:rPr>
                    <w:t>-</w:t>
                  </w:r>
                </w:p>
              </w:tc>
              <w:tc>
                <w:tcPr>
                  <w:tcW w:w="1172" w:type="dxa"/>
                  <w:tcBorders>
                    <w:top w:val="nil"/>
                    <w:left w:val="outset" w:color="auto" w:sz="6" w:space="0"/>
                    <w:bottom w:val="outset" w:color="auto" w:sz="6" w:space="0"/>
                    <w:right w:val="outset" w:color="auto" w:sz="6" w:space="0"/>
                  </w:tcBorders>
                </w:tcPr>
                <w:p w14:paraId="4F8B3076">
                  <w:pPr>
                    <w:spacing w:after="160" w:line="259" w:lineRule="auto"/>
                    <w:rPr>
                      <w:b/>
                      <w:bCs/>
                    </w:rPr>
                  </w:pPr>
                  <w:r>
                    <w:rPr>
                      <w:b/>
                      <w:bCs/>
                    </w:rPr>
                    <w:t>-</w:t>
                  </w:r>
                </w:p>
              </w:tc>
              <w:tc>
                <w:tcPr>
                  <w:tcW w:w="1119" w:type="dxa"/>
                  <w:tcBorders>
                    <w:top w:val="nil"/>
                    <w:left w:val="outset" w:color="auto" w:sz="6" w:space="0"/>
                    <w:bottom w:val="outset" w:color="auto" w:sz="6" w:space="0"/>
                    <w:right w:val="outset" w:color="auto" w:sz="6" w:space="0"/>
                  </w:tcBorders>
                </w:tcPr>
                <w:p w14:paraId="0085FF84">
                  <w:pPr>
                    <w:spacing w:after="160" w:line="259" w:lineRule="auto"/>
                    <w:rPr>
                      <w:b/>
                      <w:bCs/>
                    </w:rPr>
                  </w:pPr>
                  <w:r>
                    <w:rPr>
                      <w:b/>
                      <w:bCs/>
                    </w:rPr>
                    <w:t>-</w:t>
                  </w:r>
                </w:p>
              </w:tc>
              <w:tc>
                <w:tcPr>
                  <w:tcW w:w="1118" w:type="dxa"/>
                  <w:tcBorders>
                    <w:top w:val="nil"/>
                    <w:left w:val="outset" w:color="auto" w:sz="6" w:space="0"/>
                    <w:bottom w:val="outset" w:color="auto" w:sz="6" w:space="0"/>
                    <w:right w:val="outset" w:color="auto" w:sz="6" w:space="0"/>
                  </w:tcBorders>
                </w:tcPr>
                <w:p w14:paraId="58F8C23F">
                  <w:pPr>
                    <w:spacing w:after="160" w:line="259" w:lineRule="auto"/>
                    <w:rPr>
                      <w:b/>
                      <w:bCs/>
                    </w:rPr>
                  </w:pPr>
                  <w:r>
                    <w:rPr>
                      <w:b/>
                      <w:bCs/>
                    </w:rPr>
                    <w:t>-</w:t>
                  </w:r>
                </w:p>
              </w:tc>
              <w:tc>
                <w:tcPr>
                  <w:tcW w:w="1091" w:type="dxa"/>
                  <w:tcBorders>
                    <w:top w:val="nil"/>
                    <w:left w:val="outset" w:color="auto" w:sz="6" w:space="0"/>
                    <w:bottom w:val="outset" w:color="auto" w:sz="6" w:space="0"/>
                    <w:right w:val="outset" w:color="auto" w:sz="6" w:space="0"/>
                  </w:tcBorders>
                </w:tcPr>
                <w:p w14:paraId="1DE2CD95">
                  <w:pPr>
                    <w:spacing w:after="160" w:line="259" w:lineRule="auto"/>
                    <w:rPr>
                      <w:b/>
                      <w:bCs/>
                    </w:rPr>
                  </w:pPr>
                  <w:r>
                    <w:rPr>
                      <w:b/>
                      <w:bCs/>
                    </w:rPr>
                    <w:t>-</w:t>
                  </w:r>
                </w:p>
              </w:tc>
              <w:tc>
                <w:tcPr>
                  <w:tcW w:w="1172" w:type="dxa"/>
                  <w:tcBorders>
                    <w:top w:val="nil"/>
                    <w:left w:val="outset" w:color="auto" w:sz="6" w:space="0"/>
                    <w:bottom w:val="outset" w:color="auto" w:sz="6" w:space="0"/>
                    <w:right w:val="outset" w:color="auto" w:sz="6" w:space="0"/>
                  </w:tcBorders>
                </w:tcPr>
                <w:p w14:paraId="40CD4DE7">
                  <w:pPr>
                    <w:spacing w:after="160" w:line="259" w:lineRule="auto"/>
                    <w:rPr>
                      <w:b/>
                      <w:bCs/>
                    </w:rPr>
                  </w:pPr>
                  <w:r>
                    <w:rPr>
                      <w:b/>
                      <w:bCs/>
                    </w:rPr>
                    <w:t>-</w:t>
                  </w:r>
                </w:p>
              </w:tc>
              <w:tc>
                <w:tcPr>
                  <w:tcW w:w="1187" w:type="dxa"/>
                  <w:tcBorders>
                    <w:top w:val="nil"/>
                    <w:left w:val="outset" w:color="auto" w:sz="6" w:space="0"/>
                    <w:bottom w:val="outset" w:color="auto" w:sz="6" w:space="0"/>
                    <w:right w:val="outset" w:color="auto" w:sz="6" w:space="0"/>
                  </w:tcBorders>
                </w:tcPr>
                <w:p w14:paraId="3780F10E">
                  <w:pPr>
                    <w:spacing w:after="160" w:line="259" w:lineRule="auto"/>
                    <w:rPr>
                      <w:b/>
                      <w:bCs/>
                    </w:rPr>
                  </w:pPr>
                  <w:r>
                    <w:rPr>
                      <w:b/>
                      <w:bCs/>
                    </w:rPr>
                    <w:t>-</w:t>
                  </w:r>
                </w:p>
              </w:tc>
              <w:tc>
                <w:tcPr>
                  <w:tcW w:w="1063" w:type="dxa"/>
                  <w:tcBorders>
                    <w:top w:val="nil"/>
                    <w:left w:val="outset" w:color="auto" w:sz="6" w:space="0"/>
                    <w:bottom w:val="outset" w:color="auto" w:sz="6" w:space="0"/>
                    <w:right w:val="outset" w:color="auto" w:sz="6" w:space="0"/>
                  </w:tcBorders>
                  <w:shd w:val="clear" w:color="auto" w:fill="FFFFFF"/>
                </w:tcPr>
                <w:p w14:paraId="4357AA9B">
                  <w:pPr>
                    <w:spacing w:after="160" w:line="259" w:lineRule="auto"/>
                    <w:rPr>
                      <w:bCs/>
                    </w:rPr>
                  </w:pPr>
                  <w:r>
                    <w:rPr>
                      <w:b/>
                      <w:bCs/>
                    </w:rPr>
                    <w:t xml:space="preserve">          </w:t>
                  </w:r>
                  <w:r>
                    <w:rPr>
                      <w:bCs/>
                    </w:rPr>
                    <w:t>-</w:t>
                  </w:r>
                </w:p>
              </w:tc>
              <w:tc>
                <w:tcPr>
                  <w:tcW w:w="1875" w:type="dxa"/>
                  <w:tcBorders>
                    <w:top w:val="nil"/>
                    <w:left w:val="outset" w:color="auto" w:sz="6" w:space="0"/>
                    <w:bottom w:val="outset" w:color="auto" w:sz="6" w:space="0"/>
                    <w:right w:val="outset" w:color="auto" w:sz="6" w:space="0"/>
                  </w:tcBorders>
                  <w:shd w:val="clear" w:color="auto" w:fill="FFFFFF"/>
                </w:tcPr>
                <w:p w14:paraId="40F734B4">
                  <w:pPr>
                    <w:spacing w:after="160" w:line="259" w:lineRule="auto"/>
                    <w:rPr>
                      <w:rFonts w:hint="default"/>
                      <w:b/>
                      <w:bCs/>
                      <w:lang w:val="pt-BR"/>
                    </w:rPr>
                  </w:pPr>
                  <w:r>
                    <w:rPr>
                      <w:rFonts w:hint="default"/>
                      <w:b/>
                      <w:bCs/>
                      <w:lang w:val="pt-BR"/>
                    </w:rPr>
                    <w:t xml:space="preserve">- </w:t>
                  </w:r>
                </w:p>
              </w:tc>
              <w:tc>
                <w:tcPr>
                  <w:tcW w:w="240" w:type="dxa"/>
                  <w:tcBorders>
                    <w:top w:val="nil"/>
                    <w:left w:val="outset" w:color="auto" w:sz="6" w:space="0"/>
                    <w:bottom w:val="outset" w:color="auto" w:sz="6" w:space="0"/>
                    <w:right w:val="outset" w:color="auto" w:sz="6" w:space="0"/>
                  </w:tcBorders>
                  <w:shd w:val="clear" w:color="auto" w:fill="FFFFFF"/>
                </w:tcPr>
                <w:p w14:paraId="0F183ED0">
                  <w:pPr>
                    <w:spacing w:after="160" w:line="259" w:lineRule="auto"/>
                    <w:rPr>
                      <w:rFonts w:hint="default"/>
                      <w:b/>
                      <w:bCs/>
                      <w:lang w:val="pt-BR"/>
                    </w:rPr>
                  </w:pPr>
                  <w:r>
                    <w:rPr>
                      <w:rFonts w:hint="default"/>
                      <w:b/>
                      <w:bCs/>
                      <w:lang w:val="pt-BR"/>
                    </w:rPr>
                    <w:t>--.</w:t>
                  </w:r>
                </w:p>
              </w:tc>
              <w:tc>
                <w:tcPr>
                  <w:tcW w:w="240" w:type="dxa"/>
                  <w:tcBorders>
                    <w:top w:val="nil"/>
                    <w:left w:val="outset" w:color="auto" w:sz="6" w:space="0"/>
                    <w:bottom w:val="outset" w:color="auto" w:sz="6" w:space="0"/>
                    <w:right w:val="outset" w:color="auto" w:sz="6" w:space="0"/>
                  </w:tcBorders>
                  <w:shd w:val="clear" w:color="auto" w:fill="FFFFFF"/>
                </w:tcPr>
                <w:p w14:paraId="092FB826">
                  <w:pPr>
                    <w:spacing w:after="160" w:line="259" w:lineRule="auto"/>
                    <w:rPr>
                      <w:b/>
                      <w:bCs/>
                    </w:rPr>
                  </w:pPr>
                </w:p>
              </w:tc>
              <w:tc>
                <w:tcPr>
                  <w:tcW w:w="240" w:type="dxa"/>
                  <w:tcBorders>
                    <w:top w:val="nil"/>
                    <w:left w:val="outset" w:color="auto" w:sz="6" w:space="0"/>
                    <w:bottom w:val="outset" w:color="auto" w:sz="6" w:space="0"/>
                    <w:right w:val="outset" w:color="auto" w:sz="6" w:space="0"/>
                  </w:tcBorders>
                  <w:shd w:val="clear" w:color="auto" w:fill="FFFFFF"/>
                </w:tcPr>
                <w:p w14:paraId="336A1D3A">
                  <w:pPr>
                    <w:spacing w:after="160" w:line="259" w:lineRule="auto"/>
                    <w:rPr>
                      <w:b/>
                      <w:bCs/>
                    </w:rPr>
                  </w:pPr>
                </w:p>
              </w:tc>
            </w:tr>
          </w:tbl>
          <w:p w14:paraId="3148307D">
            <w:pPr>
              <w:spacing w:after="160" w:line="259" w:lineRule="auto"/>
            </w:pPr>
          </w:p>
        </w:tc>
        <w:tc>
          <w:tcPr>
            <w:tcW w:w="1077" w:type="dxa"/>
            <w:tcBorders>
              <w:top w:val="nil"/>
              <w:left w:val="nil"/>
              <w:bottom w:val="nil"/>
              <w:right w:val="nil"/>
            </w:tcBorders>
          </w:tcPr>
          <w:p w14:paraId="33B531E1">
            <w:pPr>
              <w:spacing w:after="160" w:line="259" w:lineRule="auto"/>
              <w:rPr>
                <w:rFonts w:hint="default"/>
                <w:lang w:val="pt-BR"/>
              </w:rPr>
            </w:pPr>
            <w:r>
              <w:rPr>
                <w:rFonts w:hint="default"/>
                <w:lang w:val="pt-BR"/>
              </w:rPr>
              <w:t>Expansão</w:t>
            </w:r>
          </w:p>
          <w:p w14:paraId="499F08BB">
            <w:pPr>
              <w:spacing w:after="160" w:line="259" w:lineRule="auto"/>
              <w:rPr>
                <w:rFonts w:hint="default"/>
                <w:lang w:val="pt-BR"/>
              </w:rPr>
            </w:pPr>
            <w:r>
              <w:rPr>
                <w:rFonts w:hint="default"/>
                <w:lang w:val="pt-BR"/>
              </w:rPr>
              <w:t>2013-2023</w:t>
            </w:r>
          </w:p>
          <w:p w14:paraId="13BBA1CD">
            <w:pPr>
              <w:spacing w:after="160" w:line="259" w:lineRule="auto"/>
              <w:rPr>
                <w:rFonts w:hint="default"/>
                <w:lang w:val="pt-BR"/>
              </w:rPr>
            </w:pPr>
          </w:p>
          <w:p w14:paraId="63E7A42F">
            <w:pPr>
              <w:spacing w:after="160" w:line="259" w:lineRule="auto"/>
              <w:rPr>
                <w:rFonts w:hint="default"/>
                <w:lang w:val="pt-BR"/>
              </w:rPr>
            </w:pPr>
          </w:p>
          <w:p w14:paraId="6AF42914">
            <w:pPr>
              <w:spacing w:after="160" w:line="259" w:lineRule="auto"/>
              <w:rPr>
                <w:rFonts w:hint="default"/>
                <w:lang w:val="pt-BR"/>
              </w:rPr>
            </w:pPr>
          </w:p>
          <w:p w14:paraId="73804911">
            <w:pPr>
              <w:spacing w:after="160" w:line="259" w:lineRule="auto"/>
              <w:rPr>
                <w:rFonts w:hint="default"/>
                <w:lang w:val="pt-BR"/>
              </w:rPr>
            </w:pPr>
          </w:p>
          <w:p w14:paraId="5ECD503D">
            <w:pPr>
              <w:spacing w:after="160" w:line="259" w:lineRule="auto"/>
              <w:rPr>
                <w:rFonts w:hint="default"/>
                <w:lang w:val="pt-BR"/>
              </w:rPr>
            </w:pPr>
          </w:p>
          <w:p w14:paraId="75BD0EF9">
            <w:pPr>
              <w:spacing w:after="160" w:line="259" w:lineRule="auto"/>
              <w:rPr>
                <w:rFonts w:hint="default"/>
                <w:lang w:val="pt-BR"/>
              </w:rPr>
            </w:pPr>
          </w:p>
          <w:p w14:paraId="0DF6B9E8">
            <w:pPr>
              <w:spacing w:after="160" w:line="259" w:lineRule="auto"/>
              <w:rPr>
                <w:rFonts w:hint="default"/>
                <w:lang w:val="pt-BR"/>
              </w:rPr>
            </w:pPr>
          </w:p>
          <w:p w14:paraId="499E20EF">
            <w:pPr>
              <w:spacing w:after="160" w:line="259" w:lineRule="auto"/>
              <w:rPr>
                <w:rFonts w:hint="default"/>
                <w:lang w:val="pt-BR"/>
              </w:rPr>
            </w:pPr>
          </w:p>
          <w:p w14:paraId="43625A49">
            <w:pPr>
              <w:spacing w:after="160" w:line="259" w:lineRule="auto"/>
              <w:rPr>
                <w:rFonts w:hint="default"/>
                <w:lang w:val="pt-BR"/>
              </w:rPr>
            </w:pPr>
            <w:r>
              <w:rPr>
                <w:rFonts w:hint="default"/>
                <w:lang w:val="pt-BR"/>
              </w:rPr>
              <w:t>-</w:t>
            </w:r>
          </w:p>
        </w:tc>
      </w:tr>
      <w:tr w14:paraId="6B69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3" w:hRule="atLeast"/>
        </w:trPr>
        <w:tc>
          <w:tcPr>
            <w:tcW w:w="10474" w:type="dxa"/>
            <w:tcBorders>
              <w:top w:val="nil"/>
              <w:left w:val="nil"/>
              <w:bottom w:val="nil"/>
              <w:right w:val="nil"/>
            </w:tcBorders>
          </w:tcPr>
          <w:tbl>
            <w:tblPr>
              <w:tblStyle w:val="3"/>
              <w:tblW w:w="0" w:type="auto"/>
              <w:tblInd w:w="0" w:type="dxa"/>
              <w:tblLayout w:type="fixed"/>
              <w:tblCellMar>
                <w:top w:w="15" w:type="dxa"/>
                <w:left w:w="15" w:type="dxa"/>
                <w:bottom w:w="15" w:type="dxa"/>
                <w:right w:w="15" w:type="dxa"/>
              </w:tblCellMar>
            </w:tblPr>
            <w:tblGrid>
              <w:gridCol w:w="6450"/>
            </w:tblGrid>
            <w:tr w14:paraId="6525F034">
              <w:trPr>
                <w:trHeight w:val="466" w:hRule="atLeast"/>
              </w:trPr>
              <w:tc>
                <w:tcPr>
                  <w:tcW w:w="6450" w:type="dxa"/>
                  <w:tcBorders>
                    <w:top w:val="nil"/>
                    <w:left w:val="nil"/>
                    <w:bottom w:val="nil"/>
                    <w:right w:val="nil"/>
                  </w:tcBorders>
                </w:tcPr>
                <w:p w14:paraId="7A6683D8">
                  <w:r>
                    <w:t>Fonte: INEP - Censo Escolar da Educação Básica</w:t>
                  </w:r>
                </w:p>
              </w:tc>
            </w:tr>
          </w:tbl>
          <w:p w14:paraId="020596F7">
            <w:pPr>
              <w:spacing w:after="160" w:line="259" w:lineRule="auto"/>
            </w:pPr>
          </w:p>
        </w:tc>
        <w:tc>
          <w:tcPr>
            <w:tcW w:w="2937" w:type="dxa"/>
            <w:gridSpan w:val="2"/>
            <w:tcBorders>
              <w:top w:val="nil"/>
              <w:left w:val="nil"/>
              <w:bottom w:val="nil"/>
              <w:right w:val="nil"/>
            </w:tcBorders>
          </w:tcPr>
          <w:p w14:paraId="4B6A6787">
            <w:pPr>
              <w:spacing w:after="160" w:line="259" w:lineRule="auto"/>
            </w:pPr>
          </w:p>
        </w:tc>
      </w:tr>
    </w:tbl>
    <w:p w14:paraId="5D16D2E1">
      <w:pPr>
        <w:spacing w:line="360" w:lineRule="auto"/>
        <w:ind w:firstLine="708" w:firstLineChars="0"/>
        <w:jc w:val="both"/>
      </w:pPr>
    </w:p>
    <w:p w14:paraId="7A0197E4">
      <w:pPr>
        <w:spacing w:line="360" w:lineRule="auto"/>
        <w:ind w:firstLine="708" w:firstLineChars="0"/>
        <w:jc w:val="both"/>
      </w:pPr>
      <w:r>
        <w:t xml:space="preserve">Nosso município possui uma instituição pública de Ensino Médio, a qual não oferece cursos técnicos profissionalizantes de nível médio. Assim, a população que tem interesse em realizar cursos nesta modalidade, precisa se deslocar para municípios vizinhos. </w:t>
      </w:r>
    </w:p>
    <w:p w14:paraId="512629E5">
      <w:pPr>
        <w:spacing w:line="360" w:lineRule="auto"/>
        <w:ind w:firstLine="708" w:firstLineChars="0"/>
        <w:jc w:val="both"/>
      </w:pPr>
      <w:r>
        <w:t>(Magistério em Salto do Lontra</w:t>
      </w:r>
      <w:r>
        <w:rPr>
          <w:rFonts w:hint="default"/>
          <w:lang w:val="pt-BR"/>
        </w:rPr>
        <w:t xml:space="preserve"> e </w:t>
      </w:r>
      <w:r>
        <w:t xml:space="preserve"> Escola Agrícola em Francisco Beltrão).</w:t>
      </w:r>
    </w:p>
    <w:p w14:paraId="77BD897A">
      <w:pPr>
        <w:spacing w:line="360" w:lineRule="auto"/>
        <w:ind w:firstLine="708" w:firstLineChars="0"/>
        <w:jc w:val="both"/>
      </w:pP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1"/>
        <w:gridCol w:w="6745"/>
      </w:tblGrid>
      <w:tr w14:paraId="1A1A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44BC38BE">
            <w:pPr>
              <w:rPr>
                <w:rFonts w:hint="default"/>
                <w:b/>
                <w:bCs/>
                <w:vertAlign w:val="baseline"/>
                <w:lang w:val="pt-BR"/>
              </w:rPr>
            </w:pPr>
            <w:r>
              <w:t xml:space="preserve"> </w:t>
            </w:r>
            <w:r>
              <w:rPr>
                <w:rFonts w:hint="default"/>
                <w:b/>
                <w:bCs/>
                <w:vertAlign w:val="baseline"/>
                <w:lang w:val="pt-BR"/>
              </w:rPr>
              <w:t>Ficha metodológica para o indicador 12A - base PNE</w:t>
            </w:r>
          </w:p>
        </w:tc>
      </w:tr>
      <w:tr w14:paraId="6BB7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outset" w:color="auto" w:sz="6" w:space="0"/>
              <w:left w:val="outset" w:color="auto" w:sz="6" w:space="0"/>
              <w:bottom w:val="outset" w:color="auto" w:sz="6" w:space="0"/>
              <w:right w:val="outset" w:color="auto" w:sz="6" w:space="0"/>
            </w:tcBorders>
          </w:tcPr>
          <w:p w14:paraId="019C1CCB">
            <w:pPr>
              <w:spacing w:after="160" w:line="259" w:lineRule="auto"/>
              <w:rPr>
                <w:b/>
              </w:rPr>
            </w:pPr>
            <w:r>
              <w:rPr>
                <w:b/>
              </w:rPr>
              <w:t>Meta</w:t>
            </w:r>
          </w:p>
        </w:tc>
        <w:tc>
          <w:tcPr>
            <w:tcW w:w="6745" w:type="dxa"/>
            <w:tcBorders>
              <w:top w:val="outset" w:color="auto" w:sz="6" w:space="0"/>
              <w:left w:val="outset" w:color="auto" w:sz="6" w:space="0"/>
              <w:bottom w:val="outset" w:color="auto" w:sz="6" w:space="0"/>
              <w:right w:val="outset" w:color="auto" w:sz="6" w:space="0"/>
            </w:tcBorders>
          </w:tcPr>
          <w:p w14:paraId="0C01AB33">
            <w:pPr>
              <w:spacing w:after="160" w:line="259" w:lineRule="auto"/>
              <w:rPr>
                <w:b/>
              </w:rPr>
            </w:pPr>
            <w:r>
              <w:rPr>
                <w:b/>
              </w:rPr>
              <w:t>Texto da meta</w:t>
            </w:r>
          </w:p>
        </w:tc>
      </w:tr>
      <w:tr w14:paraId="2697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nil"/>
              <w:left w:val="outset" w:color="auto" w:sz="6" w:space="0"/>
              <w:bottom w:val="outset" w:color="auto" w:sz="6" w:space="0"/>
              <w:right w:val="outset" w:color="auto" w:sz="6" w:space="0"/>
            </w:tcBorders>
          </w:tcPr>
          <w:p w14:paraId="432CA358">
            <w:pPr>
              <w:spacing w:after="160" w:line="259" w:lineRule="auto"/>
            </w:pPr>
            <w:r>
              <w:t>12</w:t>
            </w:r>
          </w:p>
        </w:tc>
        <w:tc>
          <w:tcPr>
            <w:tcW w:w="6745" w:type="dxa"/>
            <w:tcBorders>
              <w:top w:val="nil"/>
              <w:left w:val="outset" w:color="auto" w:sz="6" w:space="0"/>
              <w:bottom w:val="outset" w:color="auto" w:sz="6" w:space="0"/>
              <w:right w:val="outset" w:color="auto" w:sz="6" w:space="0"/>
            </w:tcBorders>
          </w:tcPr>
          <w:p w14:paraId="0BFA1212">
            <w:pPr>
              <w:spacing w:after="160" w:line="259" w:lineRule="auto"/>
              <w:jc w:val="both"/>
              <w:rPr>
                <w:i/>
              </w:rPr>
            </w:pPr>
            <w:r>
              <w:rPr>
                <w:rFonts w:hint="default"/>
                <w:bCs/>
                <w:lang w:val="pt-BR"/>
              </w:rPr>
              <w:t xml:space="preserve">Elevar a taxa bruta de </w:t>
            </w:r>
            <w:r>
              <w:rPr>
                <w:bCs/>
              </w:rPr>
              <w:t xml:space="preserve">matrícula na educação superior </w:t>
            </w:r>
            <w:r>
              <w:rPr>
                <w:rFonts w:hint="default"/>
                <w:bCs/>
                <w:lang w:val="pt-BR"/>
              </w:rPr>
              <w:t>para 50% (cinquenta por cento) e a taxa líquida para 33% (trinta e três por cento) da população de 18 (dezoito) a 24 (vinte e quatro) anos</w:t>
            </w:r>
            <w:r>
              <w:rPr>
                <w:bCs/>
              </w:rPr>
              <w:t xml:space="preserve">, </w:t>
            </w:r>
            <w:r>
              <w:rPr>
                <w:rFonts w:hint="default"/>
                <w:bCs/>
                <w:lang w:val="pt-BR"/>
              </w:rPr>
              <w:t xml:space="preserve">assegurando </w:t>
            </w:r>
            <w:r>
              <w:rPr>
                <w:bCs/>
              </w:rPr>
              <w:t xml:space="preserve">a qualidade da oferta e expansão </w:t>
            </w:r>
            <w:r>
              <w:rPr>
                <w:rFonts w:hint="default"/>
                <w:bCs/>
                <w:lang w:val="pt-BR"/>
              </w:rPr>
              <w:t xml:space="preserve">para, pelo menos 40% (quarenta por cento) </w:t>
            </w:r>
            <w:r>
              <w:rPr>
                <w:bCs/>
              </w:rPr>
              <w:t>das novas matrículas, no segmento público.</w:t>
            </w:r>
          </w:p>
        </w:tc>
      </w:tr>
      <w:tr w14:paraId="45FD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outset" w:color="auto" w:sz="6" w:space="0"/>
              <w:left w:val="outset" w:color="auto" w:sz="6" w:space="0"/>
              <w:bottom w:val="outset" w:color="auto" w:sz="6" w:space="0"/>
              <w:right w:val="outset" w:color="auto" w:sz="6" w:space="0"/>
            </w:tcBorders>
          </w:tcPr>
          <w:p w14:paraId="14CD753A">
            <w:pPr>
              <w:rPr>
                <w:rFonts w:hint="default"/>
                <w:b w:val="0"/>
                <w:bCs/>
                <w:lang w:val="pt-BR"/>
              </w:rPr>
            </w:pPr>
            <w:r>
              <w:rPr>
                <w:rFonts w:hint="default"/>
                <w:b w:val="0"/>
                <w:bCs/>
                <w:lang w:val="pt-BR"/>
              </w:rPr>
              <w:t>Indicador 12A Nacional</w:t>
            </w:r>
          </w:p>
        </w:tc>
        <w:tc>
          <w:tcPr>
            <w:tcW w:w="6745" w:type="dxa"/>
            <w:tcBorders>
              <w:top w:val="outset" w:color="auto" w:sz="6" w:space="0"/>
              <w:left w:val="outset" w:color="auto" w:sz="6" w:space="0"/>
              <w:bottom w:val="outset" w:color="auto" w:sz="6" w:space="0"/>
              <w:right w:val="outset" w:color="auto" w:sz="6" w:space="0"/>
            </w:tcBorders>
          </w:tcPr>
          <w:p w14:paraId="4E536EF4">
            <w:pPr>
              <w:spacing w:after="160" w:line="259" w:lineRule="auto"/>
              <w:rPr>
                <w:rFonts w:hint="default"/>
                <w:b w:val="0"/>
                <w:bCs/>
                <w:lang w:val="pt-BR"/>
              </w:rPr>
            </w:pPr>
            <w:r>
              <w:rPr>
                <w:rFonts w:hint="default"/>
                <w:b w:val="0"/>
                <w:bCs/>
                <w:lang w:val="pt-BR"/>
              </w:rPr>
              <w:t>Taxa bruta de matrícula na graduação.</w:t>
            </w:r>
          </w:p>
        </w:tc>
      </w:tr>
      <w:tr w14:paraId="45FB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outset" w:color="auto" w:sz="6" w:space="0"/>
              <w:left w:val="outset" w:color="auto" w:sz="6" w:space="0"/>
              <w:bottom w:val="outset" w:color="auto" w:sz="6" w:space="0"/>
              <w:right w:val="outset" w:color="auto" w:sz="6" w:space="0"/>
            </w:tcBorders>
          </w:tcPr>
          <w:p w14:paraId="26A11A8B">
            <w:pPr>
              <w:rPr>
                <w:rFonts w:hint="default"/>
                <w:lang w:val="pt-BR"/>
              </w:rPr>
            </w:pPr>
            <w:r>
              <w:rPr>
                <w:b/>
              </w:rPr>
              <w:t xml:space="preserve"> </w:t>
            </w:r>
            <w:r>
              <w:t>Indicador 1</w:t>
            </w:r>
            <w:r>
              <w:rPr>
                <w:rFonts w:hint="default"/>
                <w:lang w:val="pt-BR"/>
              </w:rPr>
              <w:t>2A Proposto</w:t>
            </w:r>
          </w:p>
        </w:tc>
        <w:tc>
          <w:tcPr>
            <w:tcW w:w="6745" w:type="dxa"/>
            <w:tcBorders>
              <w:top w:val="outset" w:color="auto" w:sz="6" w:space="0"/>
              <w:left w:val="outset" w:color="auto" w:sz="6" w:space="0"/>
              <w:bottom w:val="outset" w:color="auto" w:sz="6" w:space="0"/>
              <w:right w:val="outset" w:color="auto" w:sz="6" w:space="0"/>
            </w:tcBorders>
          </w:tcPr>
          <w:p w14:paraId="1C1BDBB7">
            <w:pPr>
              <w:spacing w:after="160" w:line="259" w:lineRule="auto"/>
            </w:pPr>
            <w:r>
              <w:t>Nenhum</w:t>
            </w:r>
          </w:p>
        </w:tc>
      </w:tr>
      <w:tr w14:paraId="1436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nil"/>
              <w:left w:val="outset" w:color="auto" w:sz="6" w:space="0"/>
              <w:bottom w:val="outset" w:color="auto" w:sz="6" w:space="0"/>
              <w:right w:val="outset" w:color="auto" w:sz="6" w:space="0"/>
            </w:tcBorders>
          </w:tcPr>
          <w:p w14:paraId="5EE773ED">
            <w:pPr>
              <w:spacing w:after="160" w:line="259" w:lineRule="auto"/>
            </w:pPr>
            <w:r>
              <w:t>Fórmula de cálculo</w:t>
            </w:r>
          </w:p>
        </w:tc>
        <w:tc>
          <w:tcPr>
            <w:tcW w:w="6745"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6715"/>
            </w:tblGrid>
            <w:tr w14:paraId="0C2A0DC7">
              <w:tc>
                <w:tcPr>
                  <w:tcW w:w="0" w:type="auto"/>
                  <w:tcBorders>
                    <w:top w:val="nil"/>
                    <w:left w:val="nil"/>
                    <w:bottom w:val="nil"/>
                    <w:right w:val="nil"/>
                  </w:tcBorders>
                </w:tcPr>
                <w:p w14:paraId="001CA9B4">
                  <w:r>
                    <w:t>(Total da população que frequenta cursos de graduação / Total da população de 18 a 24 anos) x 100</w:t>
                  </w:r>
                </w:p>
              </w:tc>
            </w:tr>
          </w:tbl>
          <w:p w14:paraId="0C7A9B8C">
            <w:pPr>
              <w:spacing w:after="160" w:line="259" w:lineRule="auto"/>
            </w:pPr>
          </w:p>
        </w:tc>
      </w:tr>
      <w:tr w14:paraId="417C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1071"/>
            </w:tblGrid>
            <w:tr w14:paraId="4BE01AFC">
              <w:tc>
                <w:tcPr>
                  <w:tcW w:w="0" w:type="auto"/>
                  <w:tcBorders>
                    <w:top w:val="nil"/>
                    <w:left w:val="nil"/>
                    <w:bottom w:val="nil"/>
                    <w:right w:val="nil"/>
                  </w:tcBorders>
                </w:tcPr>
                <w:p w14:paraId="4E37E557">
                  <w:r>
                    <w:t>Justificativa</w:t>
                  </w:r>
                </w:p>
              </w:tc>
            </w:tr>
            <w:tr w14:paraId="1B4610CF">
              <w:tblPrEx>
                <w:tblCellMar>
                  <w:top w:w="15" w:type="dxa"/>
                  <w:left w:w="15" w:type="dxa"/>
                  <w:bottom w:w="15" w:type="dxa"/>
                  <w:right w:w="15" w:type="dxa"/>
                </w:tblCellMar>
              </w:tblPrEx>
              <w:tc>
                <w:tcPr>
                  <w:tcW w:w="0" w:type="auto"/>
                  <w:tcBorders>
                    <w:top w:val="nil"/>
                    <w:left w:val="nil"/>
                    <w:bottom w:val="nil"/>
                    <w:right w:val="nil"/>
                  </w:tcBorders>
                </w:tcPr>
                <w:p w14:paraId="19D8989A"/>
              </w:tc>
            </w:tr>
          </w:tbl>
          <w:p w14:paraId="43A34FD3">
            <w:pPr>
              <w:spacing w:after="160" w:line="259" w:lineRule="auto"/>
            </w:pPr>
          </w:p>
        </w:tc>
        <w:tc>
          <w:tcPr>
            <w:tcW w:w="6745"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36"/>
              <w:gridCol w:w="6679"/>
            </w:tblGrid>
            <w:tr w14:paraId="25F16BA2">
              <w:tc>
                <w:tcPr>
                  <w:tcW w:w="0" w:type="auto"/>
                  <w:tcBorders>
                    <w:top w:val="nil"/>
                    <w:left w:val="nil"/>
                    <w:bottom w:val="nil"/>
                    <w:right w:val="nil"/>
                  </w:tcBorders>
                </w:tcPr>
                <w:p w14:paraId="07B627E2"/>
                <w:p w14:paraId="47D96807"/>
              </w:tc>
              <w:tc>
                <w:tcPr>
                  <w:tcW w:w="0" w:type="auto"/>
                  <w:tcBorders>
                    <w:top w:val="nil"/>
                    <w:left w:val="nil"/>
                    <w:bottom w:val="nil"/>
                    <w:right w:val="nil"/>
                  </w:tcBorders>
                </w:tcPr>
                <w:p w14:paraId="3CD3F59D">
                  <w:r>
                    <w:t>Inviável para município. A) PNAD é pesquisa amostral; B) Censo educação Superior não informa endereço do aluno; usar endereço da matrícula concentrará no município a faixa etária dos estudantes que se deslocam para estudo; C) Grande parte dos municípios não possuem nível superior em seu território.</w:t>
                  </w:r>
                </w:p>
              </w:tc>
            </w:tr>
          </w:tbl>
          <w:p w14:paraId="17C185EC">
            <w:pPr>
              <w:spacing w:after="160" w:line="259" w:lineRule="auto"/>
            </w:pPr>
          </w:p>
        </w:tc>
      </w:tr>
    </w:tbl>
    <w:p w14:paraId="6EDEEFC0">
      <w:r>
        <w:t xml:space="preserve"> </w:t>
      </w:r>
    </w:p>
    <w:p w14:paraId="06AFCD90"/>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1"/>
        <w:gridCol w:w="16"/>
        <w:gridCol w:w="6729"/>
      </w:tblGrid>
      <w:tr w14:paraId="089D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5A09C203">
            <w:pPr>
              <w:jc w:val="center"/>
              <w:rPr>
                <w:rFonts w:hint="default"/>
                <w:b/>
                <w:bCs/>
                <w:vertAlign w:val="baseline"/>
                <w:lang w:val="pt-BR"/>
              </w:rPr>
            </w:pPr>
            <w:r>
              <w:rPr>
                <w:rFonts w:hint="default"/>
                <w:b/>
                <w:bCs/>
                <w:vertAlign w:val="baseline"/>
                <w:lang w:val="pt-BR"/>
              </w:rPr>
              <w:t>Ficha metodológica para o indicador 12B - base PNE</w:t>
            </w:r>
          </w:p>
        </w:tc>
      </w:tr>
      <w:tr w14:paraId="4994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outset" w:color="auto" w:sz="6" w:space="0"/>
              <w:left w:val="outset" w:color="auto" w:sz="6" w:space="0"/>
              <w:bottom w:val="outset" w:color="auto" w:sz="6" w:space="0"/>
              <w:right w:val="outset" w:color="auto" w:sz="6" w:space="0"/>
            </w:tcBorders>
          </w:tcPr>
          <w:p w14:paraId="753E414C">
            <w:pPr>
              <w:spacing w:after="160" w:line="259" w:lineRule="auto"/>
              <w:rPr>
                <w:b/>
              </w:rPr>
            </w:pPr>
            <w:r>
              <w:rPr>
                <w:b/>
              </w:rPr>
              <w:t>Meta</w:t>
            </w:r>
          </w:p>
        </w:tc>
        <w:tc>
          <w:tcPr>
            <w:tcW w:w="6745" w:type="dxa"/>
            <w:gridSpan w:val="2"/>
            <w:tcBorders>
              <w:top w:val="outset" w:color="auto" w:sz="6" w:space="0"/>
              <w:left w:val="outset" w:color="auto" w:sz="6" w:space="0"/>
              <w:bottom w:val="outset" w:color="auto" w:sz="6" w:space="0"/>
              <w:right w:val="outset" w:color="auto" w:sz="6" w:space="0"/>
            </w:tcBorders>
          </w:tcPr>
          <w:p w14:paraId="44462062">
            <w:pPr>
              <w:spacing w:after="160" w:line="259" w:lineRule="auto"/>
              <w:rPr>
                <w:b/>
              </w:rPr>
            </w:pPr>
            <w:r>
              <w:rPr>
                <w:b/>
              </w:rPr>
              <w:t>Texto da meta</w:t>
            </w:r>
          </w:p>
        </w:tc>
      </w:tr>
      <w:tr w14:paraId="49D3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nil"/>
              <w:left w:val="outset" w:color="auto" w:sz="6" w:space="0"/>
              <w:bottom w:val="outset" w:color="auto" w:sz="6" w:space="0"/>
              <w:right w:val="outset" w:color="auto" w:sz="6" w:space="0"/>
            </w:tcBorders>
          </w:tcPr>
          <w:p w14:paraId="21EE8DF8">
            <w:pPr>
              <w:spacing w:after="160" w:line="259" w:lineRule="auto"/>
            </w:pPr>
            <w:r>
              <w:t>12</w:t>
            </w:r>
          </w:p>
        </w:tc>
        <w:tc>
          <w:tcPr>
            <w:tcW w:w="6745" w:type="dxa"/>
            <w:gridSpan w:val="2"/>
            <w:tcBorders>
              <w:top w:val="nil"/>
              <w:left w:val="outset" w:color="auto" w:sz="6" w:space="0"/>
              <w:bottom w:val="outset" w:color="auto" w:sz="6" w:space="0"/>
              <w:right w:val="outset" w:color="auto" w:sz="6" w:space="0"/>
            </w:tcBorders>
          </w:tcPr>
          <w:p w14:paraId="55012D8C">
            <w:pPr>
              <w:spacing w:after="160" w:line="259" w:lineRule="auto"/>
              <w:jc w:val="both"/>
              <w:rPr>
                <w:i/>
              </w:rPr>
            </w:pPr>
            <w:r>
              <w:rPr>
                <w:rFonts w:hint="default"/>
                <w:bCs/>
                <w:lang w:val="pt-BR"/>
              </w:rPr>
              <w:t xml:space="preserve">Elevar a taxa bruta de </w:t>
            </w:r>
            <w:r>
              <w:rPr>
                <w:bCs/>
              </w:rPr>
              <w:t xml:space="preserve">matrícula na educação superior </w:t>
            </w:r>
            <w:r>
              <w:rPr>
                <w:rFonts w:hint="default"/>
                <w:bCs/>
                <w:lang w:val="pt-BR"/>
              </w:rPr>
              <w:t>para 50% (cinquenta por cento) e a taxa líquida para 33% (trinta e três por cento) da população de 18 (dezoito) a 24 (vinte e quatro) anos</w:t>
            </w:r>
            <w:r>
              <w:rPr>
                <w:bCs/>
              </w:rPr>
              <w:t xml:space="preserve">, </w:t>
            </w:r>
            <w:r>
              <w:rPr>
                <w:rFonts w:hint="default"/>
                <w:bCs/>
                <w:lang w:val="pt-BR"/>
              </w:rPr>
              <w:t xml:space="preserve">assegurando </w:t>
            </w:r>
            <w:r>
              <w:rPr>
                <w:bCs/>
              </w:rPr>
              <w:t xml:space="preserve">a qualidade da oferta e expansão </w:t>
            </w:r>
            <w:r>
              <w:rPr>
                <w:rFonts w:hint="default"/>
                <w:bCs/>
                <w:lang w:val="pt-BR"/>
              </w:rPr>
              <w:t xml:space="preserve">para, pelo menos 40% (quarenta por cento) </w:t>
            </w:r>
            <w:r>
              <w:rPr>
                <w:bCs/>
              </w:rPr>
              <w:t>das novas matrículas, no segmento público.</w:t>
            </w:r>
          </w:p>
        </w:tc>
      </w:tr>
      <w:tr w14:paraId="3F58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07" w:type="dxa"/>
            <w:gridSpan w:val="2"/>
            <w:tcBorders>
              <w:top w:val="outset" w:color="auto" w:sz="6" w:space="0"/>
              <w:left w:val="outset" w:color="auto" w:sz="6" w:space="0"/>
              <w:bottom w:val="outset" w:color="auto" w:sz="6" w:space="0"/>
              <w:right w:val="outset" w:color="auto" w:sz="6" w:space="0"/>
            </w:tcBorders>
          </w:tcPr>
          <w:p w14:paraId="32CF8CA9">
            <w:pPr>
              <w:spacing w:after="160" w:line="259" w:lineRule="auto"/>
              <w:rPr>
                <w:rFonts w:hint="default"/>
                <w:lang w:val="pt-BR"/>
              </w:rPr>
            </w:pPr>
            <w:r>
              <w:rPr>
                <w:rFonts w:hint="default"/>
                <w:lang w:val="pt-BR"/>
              </w:rPr>
              <w:t>Indicador 12B Nacional</w:t>
            </w:r>
          </w:p>
        </w:tc>
        <w:tc>
          <w:tcPr>
            <w:tcW w:w="6729" w:type="dxa"/>
            <w:tcBorders>
              <w:top w:val="outset" w:color="auto" w:sz="6" w:space="0"/>
              <w:left w:val="outset" w:color="auto" w:sz="6" w:space="0"/>
              <w:bottom w:val="outset" w:color="auto" w:sz="6" w:space="0"/>
              <w:right w:val="outset" w:color="auto" w:sz="6" w:space="0"/>
            </w:tcBorders>
          </w:tcPr>
          <w:p w14:paraId="61B80CE4">
            <w:pPr>
              <w:spacing w:after="160" w:line="259" w:lineRule="auto"/>
              <w:rPr>
                <w:rFonts w:hint="default"/>
                <w:lang w:val="pt-BR"/>
              </w:rPr>
            </w:pPr>
            <w:r>
              <w:rPr>
                <w:rFonts w:hint="default"/>
                <w:lang w:val="pt-BR"/>
              </w:rPr>
              <w:t>Taxa líquida de escolarização na educação superior</w:t>
            </w:r>
          </w:p>
        </w:tc>
      </w:tr>
      <w:tr w14:paraId="71EB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07" w:type="dxa"/>
            <w:gridSpan w:val="2"/>
            <w:tcBorders>
              <w:top w:val="outset" w:color="auto" w:sz="6" w:space="0"/>
              <w:left w:val="outset" w:color="auto" w:sz="6" w:space="0"/>
              <w:bottom w:val="outset" w:color="auto" w:sz="6" w:space="0"/>
              <w:right w:val="outset" w:color="auto" w:sz="6" w:space="0"/>
            </w:tcBorders>
          </w:tcPr>
          <w:p w14:paraId="52AD0729">
            <w:pPr>
              <w:spacing w:after="160" w:line="259" w:lineRule="auto"/>
              <w:rPr>
                <w:rFonts w:hint="default"/>
                <w:lang w:val="pt-BR"/>
              </w:rPr>
            </w:pPr>
            <w:r>
              <w:t xml:space="preserve">Indicador </w:t>
            </w:r>
            <w:r>
              <w:rPr>
                <w:rFonts w:hint="default"/>
                <w:lang w:val="pt-BR"/>
              </w:rPr>
              <w:t>12B Proposto</w:t>
            </w:r>
          </w:p>
        </w:tc>
        <w:tc>
          <w:tcPr>
            <w:tcW w:w="6729" w:type="dxa"/>
            <w:tcBorders>
              <w:top w:val="outset" w:color="auto" w:sz="6" w:space="0"/>
              <w:left w:val="outset" w:color="auto" w:sz="6" w:space="0"/>
              <w:bottom w:val="outset" w:color="auto" w:sz="6" w:space="0"/>
              <w:right w:val="outset" w:color="auto" w:sz="6" w:space="0"/>
            </w:tcBorders>
          </w:tcPr>
          <w:p w14:paraId="1E0B2B1D">
            <w:pPr>
              <w:spacing w:after="160" w:line="259" w:lineRule="auto"/>
            </w:pPr>
            <w:r>
              <w:t>Nenhum</w:t>
            </w:r>
          </w:p>
        </w:tc>
      </w:tr>
      <w:tr w14:paraId="2554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07" w:type="dxa"/>
            <w:gridSpan w:val="2"/>
            <w:tcBorders>
              <w:top w:val="nil"/>
              <w:left w:val="outset" w:color="auto" w:sz="6" w:space="0"/>
              <w:bottom w:val="outset" w:color="auto" w:sz="6" w:space="0"/>
              <w:right w:val="outset" w:color="auto" w:sz="6" w:space="0"/>
            </w:tcBorders>
          </w:tcPr>
          <w:p w14:paraId="4D170AEF">
            <w:pPr>
              <w:spacing w:after="160" w:line="259" w:lineRule="auto"/>
            </w:pPr>
            <w:r>
              <w:t>Fórmula de cálculo</w:t>
            </w:r>
          </w:p>
        </w:tc>
        <w:tc>
          <w:tcPr>
            <w:tcW w:w="6729" w:type="dxa"/>
            <w:tcBorders>
              <w:top w:val="nil"/>
              <w:left w:val="outset" w:color="auto" w:sz="6" w:space="0"/>
              <w:bottom w:val="outset" w:color="auto" w:sz="6" w:space="0"/>
              <w:right w:val="outset" w:color="auto" w:sz="6" w:space="0"/>
            </w:tcBorders>
          </w:tcPr>
          <w:p w14:paraId="566FD05A">
            <w:pPr>
              <w:spacing w:after="160" w:line="259" w:lineRule="auto"/>
              <w:jc w:val="both"/>
            </w:pPr>
            <w:r>
              <w:t>(População de 18 a 24 anos que frequenta ou já concluiu cursos de graduação / Total da população de 18 a 24 anos) x 100</w:t>
            </w:r>
          </w:p>
        </w:tc>
      </w:tr>
      <w:tr w14:paraId="2D7A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07" w:type="dxa"/>
            <w:gridSpan w:val="2"/>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1071"/>
            </w:tblGrid>
            <w:tr w14:paraId="12E9F22C">
              <w:tblPrEx>
                <w:tblCellMar>
                  <w:top w:w="15" w:type="dxa"/>
                  <w:left w:w="15" w:type="dxa"/>
                  <w:bottom w:w="15" w:type="dxa"/>
                  <w:right w:w="15" w:type="dxa"/>
                </w:tblCellMar>
              </w:tblPrEx>
              <w:tc>
                <w:tcPr>
                  <w:tcW w:w="0" w:type="auto"/>
                  <w:tcBorders>
                    <w:top w:val="nil"/>
                    <w:left w:val="nil"/>
                    <w:bottom w:val="nil"/>
                    <w:right w:val="nil"/>
                  </w:tcBorders>
                </w:tcPr>
                <w:p w14:paraId="5C72E6D0">
                  <w:r>
                    <w:t>Justificativa</w:t>
                  </w:r>
                </w:p>
              </w:tc>
            </w:tr>
          </w:tbl>
          <w:p w14:paraId="038568FC">
            <w:pPr>
              <w:spacing w:after="160" w:line="259" w:lineRule="auto"/>
            </w:pPr>
          </w:p>
        </w:tc>
        <w:tc>
          <w:tcPr>
            <w:tcW w:w="6729" w:type="dxa"/>
            <w:tcBorders>
              <w:top w:val="nil"/>
              <w:left w:val="outset" w:color="auto" w:sz="6" w:space="0"/>
              <w:bottom w:val="outset" w:color="auto" w:sz="6" w:space="0"/>
              <w:right w:val="outset" w:color="auto" w:sz="6" w:space="0"/>
            </w:tcBorders>
          </w:tcPr>
          <w:p w14:paraId="4423EEE4">
            <w:pPr>
              <w:spacing w:after="160" w:line="259" w:lineRule="auto"/>
              <w:jc w:val="both"/>
            </w:pPr>
            <w:r>
              <w:t>Inviável para município. A) PNAD é pesquisa amostral; B) Censo educação Superior não informa endereço do aluno; usar endereço da matrícula concentrará no município a faixa etária dos estudantes que se delocam para estudo; C) Grande parte dos municípios não possuem nível superior em seu território.</w:t>
            </w:r>
          </w:p>
        </w:tc>
      </w:tr>
    </w:tbl>
    <w:p w14:paraId="3133B22F">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1"/>
        <w:gridCol w:w="6745"/>
      </w:tblGrid>
      <w:tr w14:paraId="1861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6B341B3B">
            <w:pPr>
              <w:jc w:val="center"/>
              <w:rPr>
                <w:rFonts w:hint="default"/>
                <w:b/>
                <w:bCs/>
                <w:vertAlign w:val="baseline"/>
                <w:lang w:val="pt-BR"/>
              </w:rPr>
            </w:pPr>
            <w:r>
              <w:rPr>
                <w:rFonts w:hint="default"/>
                <w:b/>
                <w:bCs/>
                <w:vertAlign w:val="baseline"/>
                <w:lang w:val="pt-BR"/>
              </w:rPr>
              <w:t>Ficha metodológica para o indicador 12C - base PNE</w:t>
            </w:r>
          </w:p>
        </w:tc>
      </w:tr>
      <w:tr w14:paraId="130F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outset" w:color="auto" w:sz="6" w:space="0"/>
              <w:left w:val="outset" w:color="auto" w:sz="6" w:space="0"/>
              <w:bottom w:val="outset" w:color="auto" w:sz="6" w:space="0"/>
              <w:right w:val="outset" w:color="auto" w:sz="6" w:space="0"/>
            </w:tcBorders>
          </w:tcPr>
          <w:p w14:paraId="5439F06F">
            <w:pPr>
              <w:spacing w:after="160" w:line="259" w:lineRule="auto"/>
              <w:rPr>
                <w:b/>
              </w:rPr>
            </w:pPr>
            <w:r>
              <w:rPr>
                <w:b/>
              </w:rPr>
              <w:t>Meta</w:t>
            </w:r>
          </w:p>
        </w:tc>
        <w:tc>
          <w:tcPr>
            <w:tcW w:w="6745" w:type="dxa"/>
            <w:tcBorders>
              <w:top w:val="outset" w:color="auto" w:sz="6" w:space="0"/>
              <w:left w:val="outset" w:color="auto" w:sz="6" w:space="0"/>
              <w:bottom w:val="outset" w:color="auto" w:sz="6" w:space="0"/>
              <w:right w:val="outset" w:color="auto" w:sz="6" w:space="0"/>
            </w:tcBorders>
          </w:tcPr>
          <w:p w14:paraId="7BFB8242">
            <w:pPr>
              <w:spacing w:after="160" w:line="259" w:lineRule="auto"/>
              <w:rPr>
                <w:b/>
              </w:rPr>
            </w:pPr>
            <w:r>
              <w:rPr>
                <w:b/>
              </w:rPr>
              <w:t>Texto da meta</w:t>
            </w:r>
          </w:p>
        </w:tc>
      </w:tr>
      <w:tr w14:paraId="124C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nil"/>
              <w:left w:val="outset" w:color="auto" w:sz="6" w:space="0"/>
              <w:bottom w:val="outset" w:color="auto" w:sz="6" w:space="0"/>
              <w:right w:val="outset" w:color="auto" w:sz="6" w:space="0"/>
            </w:tcBorders>
          </w:tcPr>
          <w:p w14:paraId="3F5BB63A">
            <w:pPr>
              <w:spacing w:after="160" w:line="259" w:lineRule="auto"/>
            </w:pPr>
            <w:r>
              <w:t>12</w:t>
            </w:r>
          </w:p>
        </w:tc>
        <w:tc>
          <w:tcPr>
            <w:tcW w:w="6745" w:type="dxa"/>
            <w:tcBorders>
              <w:top w:val="nil"/>
              <w:left w:val="outset" w:color="auto" w:sz="6" w:space="0"/>
              <w:bottom w:val="outset" w:color="auto" w:sz="6" w:space="0"/>
              <w:right w:val="outset" w:color="auto" w:sz="6" w:space="0"/>
            </w:tcBorders>
          </w:tcPr>
          <w:p w14:paraId="1F2EBA12">
            <w:pPr>
              <w:spacing w:after="160" w:line="259" w:lineRule="auto"/>
              <w:jc w:val="both"/>
              <w:rPr>
                <w:i/>
              </w:rPr>
            </w:pPr>
            <w:r>
              <w:rPr>
                <w:rFonts w:hint="default"/>
                <w:bCs/>
                <w:lang w:val="pt-BR"/>
              </w:rPr>
              <w:t xml:space="preserve">Elevar a taxa bruta de </w:t>
            </w:r>
            <w:r>
              <w:rPr>
                <w:bCs/>
              </w:rPr>
              <w:t xml:space="preserve">matrícula na educação superior </w:t>
            </w:r>
            <w:r>
              <w:rPr>
                <w:rFonts w:hint="default"/>
                <w:bCs/>
                <w:lang w:val="pt-BR"/>
              </w:rPr>
              <w:t>para 50% (cinquenta por cento) e a taxa líquida para 33% (trinta e três por cento) da população de 18 (dezoito) a 24 (vinte e quatro) anos</w:t>
            </w:r>
            <w:r>
              <w:rPr>
                <w:bCs/>
              </w:rPr>
              <w:t xml:space="preserve">, </w:t>
            </w:r>
            <w:r>
              <w:rPr>
                <w:rFonts w:hint="default"/>
                <w:bCs/>
                <w:lang w:val="pt-BR"/>
              </w:rPr>
              <w:t xml:space="preserve">assegurando </w:t>
            </w:r>
            <w:r>
              <w:rPr>
                <w:bCs/>
              </w:rPr>
              <w:t xml:space="preserve">a qualidade da oferta e expansão </w:t>
            </w:r>
            <w:r>
              <w:rPr>
                <w:rFonts w:hint="default"/>
                <w:bCs/>
                <w:lang w:val="pt-BR"/>
              </w:rPr>
              <w:t xml:space="preserve">para, pelo menos 40% (quarenta por cento) </w:t>
            </w:r>
            <w:r>
              <w:rPr>
                <w:bCs/>
              </w:rPr>
              <w:t>das novas matrículas, no segmento público.</w:t>
            </w:r>
          </w:p>
        </w:tc>
      </w:tr>
      <w:tr w14:paraId="08C4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outset" w:color="auto" w:sz="6" w:space="0"/>
              <w:left w:val="outset" w:color="auto" w:sz="6" w:space="0"/>
              <w:bottom w:val="outset" w:color="auto" w:sz="6" w:space="0"/>
              <w:right w:val="outset" w:color="auto" w:sz="6" w:space="0"/>
            </w:tcBorders>
          </w:tcPr>
          <w:p w14:paraId="7FA3E48A">
            <w:pPr>
              <w:spacing w:after="160" w:line="259" w:lineRule="auto"/>
              <w:rPr>
                <w:rFonts w:hint="default"/>
                <w:lang w:val="pt-BR"/>
              </w:rPr>
            </w:pPr>
            <w:r>
              <w:rPr>
                <w:rFonts w:hint="default"/>
                <w:lang w:val="pt-BR"/>
              </w:rPr>
              <w:t>Indicador 12C Nacional</w:t>
            </w:r>
          </w:p>
        </w:tc>
        <w:tc>
          <w:tcPr>
            <w:tcW w:w="6745" w:type="dxa"/>
            <w:tcBorders>
              <w:top w:val="outset" w:color="auto" w:sz="6" w:space="0"/>
              <w:left w:val="outset" w:color="auto" w:sz="6" w:space="0"/>
              <w:bottom w:val="outset" w:color="auto" w:sz="6" w:space="0"/>
              <w:right w:val="outset" w:color="auto" w:sz="6" w:space="0"/>
            </w:tcBorders>
          </w:tcPr>
          <w:p w14:paraId="7A33F8EC">
            <w:pPr>
              <w:spacing w:after="160" w:line="259" w:lineRule="auto"/>
              <w:jc w:val="both"/>
              <w:rPr>
                <w:rFonts w:hint="default"/>
                <w:lang w:val="pt-BR"/>
              </w:rPr>
            </w:pPr>
            <w:r>
              <w:rPr>
                <w:rFonts w:hint="default"/>
                <w:lang w:val="pt-BR"/>
              </w:rPr>
              <w:t>Participação do segmento público na expansão de matrículas de graduação.</w:t>
            </w:r>
          </w:p>
        </w:tc>
      </w:tr>
      <w:tr w14:paraId="1F2F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outset" w:color="auto" w:sz="6" w:space="0"/>
              <w:left w:val="outset" w:color="auto" w:sz="6" w:space="0"/>
              <w:bottom w:val="outset" w:color="auto" w:sz="6" w:space="0"/>
              <w:right w:val="outset" w:color="auto" w:sz="6" w:space="0"/>
            </w:tcBorders>
          </w:tcPr>
          <w:p w14:paraId="4FC511C0">
            <w:pPr>
              <w:spacing w:after="160" w:line="259" w:lineRule="auto"/>
              <w:rPr>
                <w:rFonts w:hint="default"/>
                <w:lang w:val="pt-BR"/>
              </w:rPr>
            </w:pPr>
            <w:r>
              <w:t xml:space="preserve">Indicador </w:t>
            </w:r>
            <w:r>
              <w:rPr>
                <w:rFonts w:hint="default"/>
                <w:lang w:val="pt-BR"/>
              </w:rPr>
              <w:t>12C Proposto</w:t>
            </w:r>
          </w:p>
        </w:tc>
        <w:tc>
          <w:tcPr>
            <w:tcW w:w="6745" w:type="dxa"/>
            <w:tcBorders>
              <w:top w:val="outset" w:color="auto" w:sz="6" w:space="0"/>
              <w:left w:val="outset" w:color="auto" w:sz="6" w:space="0"/>
              <w:bottom w:val="outset" w:color="auto" w:sz="6" w:space="0"/>
              <w:right w:val="outset" w:color="auto" w:sz="6" w:space="0"/>
            </w:tcBorders>
          </w:tcPr>
          <w:p w14:paraId="2DDF1BFD">
            <w:pPr>
              <w:spacing w:after="160" w:line="259" w:lineRule="auto"/>
            </w:pPr>
            <w:r>
              <w:t>Nenhum</w:t>
            </w:r>
          </w:p>
        </w:tc>
      </w:tr>
      <w:tr w14:paraId="7225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nil"/>
              <w:left w:val="outset" w:color="auto" w:sz="6" w:space="0"/>
              <w:bottom w:val="outset" w:color="auto" w:sz="6" w:space="0"/>
              <w:right w:val="outset" w:color="auto" w:sz="6" w:space="0"/>
            </w:tcBorders>
          </w:tcPr>
          <w:p w14:paraId="023C25EC">
            <w:pPr>
              <w:spacing w:after="160" w:line="259" w:lineRule="auto"/>
            </w:pPr>
            <w:r>
              <w:t>Fórmula de cálculo</w:t>
            </w:r>
          </w:p>
        </w:tc>
        <w:tc>
          <w:tcPr>
            <w:tcW w:w="6745" w:type="dxa"/>
            <w:tcBorders>
              <w:top w:val="nil"/>
              <w:left w:val="outset" w:color="auto" w:sz="6" w:space="0"/>
              <w:bottom w:val="outset" w:color="auto" w:sz="6" w:space="0"/>
              <w:right w:val="outset" w:color="auto" w:sz="6" w:space="0"/>
            </w:tcBorders>
          </w:tcPr>
          <w:p w14:paraId="449C6753">
            <w:pPr>
              <w:spacing w:after="160" w:line="259" w:lineRule="auto"/>
              <w:jc w:val="both"/>
            </w:pPr>
            <w:r>
              <w:t>(Variação das matrículas em cursos de graduação de IES públicas no período / Variação total das matrículas em cursos de graduação no período) x 100</w:t>
            </w:r>
          </w:p>
        </w:tc>
      </w:tr>
      <w:tr w14:paraId="60E1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1"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1071"/>
            </w:tblGrid>
            <w:tr w14:paraId="62B82B64">
              <w:tc>
                <w:tcPr>
                  <w:tcW w:w="0" w:type="auto"/>
                  <w:tcBorders>
                    <w:top w:val="nil"/>
                    <w:left w:val="nil"/>
                    <w:bottom w:val="nil"/>
                    <w:right w:val="nil"/>
                  </w:tcBorders>
                </w:tcPr>
                <w:p w14:paraId="4783C335">
                  <w:r>
                    <w:t>Justificativa</w:t>
                  </w:r>
                </w:p>
              </w:tc>
            </w:tr>
          </w:tbl>
          <w:p w14:paraId="5BC5FB13">
            <w:pPr>
              <w:spacing w:after="160" w:line="259" w:lineRule="auto"/>
            </w:pPr>
          </w:p>
        </w:tc>
        <w:tc>
          <w:tcPr>
            <w:tcW w:w="6745" w:type="dxa"/>
            <w:tcBorders>
              <w:top w:val="nil"/>
              <w:left w:val="outset" w:color="auto" w:sz="6" w:space="0"/>
              <w:bottom w:val="outset" w:color="auto" w:sz="6" w:space="0"/>
              <w:right w:val="outset" w:color="auto" w:sz="6" w:space="0"/>
            </w:tcBorders>
          </w:tcPr>
          <w:p w14:paraId="2E34FE3F">
            <w:pPr>
              <w:spacing w:after="160" w:line="259" w:lineRule="auto"/>
              <w:jc w:val="both"/>
            </w:pPr>
            <w:r>
              <w:t>a) Menor nível de desagregação do indicador pela Nota Técnica é "Unidade da Federação"; b) Grande parte dos municípios não possuem nível superior em seu território; c) Alguns possuem apenas ensino superior privado, resultando em divisão por zero no setor público; d) Em 2014, 80 municípios paranaenses possuem ensino superior presencial e 127 ensino superior a distância; e) não existe uma variável chave comum para municípios em modalidade de ensino; após unir arquivos "ALUNOS", "CURSOS" e "LOCAL OFERTA": usar CO_MUNICIPIO_CURSO para modalidade presencial e CO_MUNICIPIO_LOCAL_OFERTA para modalidade ensino a distância.</w:t>
            </w:r>
          </w:p>
        </w:tc>
      </w:tr>
    </w:tbl>
    <w:p w14:paraId="43D12890">
      <w:r>
        <w:t xml:space="preserve"> </w:t>
      </w:r>
    </w:p>
    <w:p w14:paraId="3AD304E1">
      <w:pPr>
        <w:spacing w:line="360" w:lineRule="auto"/>
        <w:ind w:firstLine="708" w:firstLineChars="0"/>
        <w:jc w:val="both"/>
      </w:pPr>
      <w:r>
        <w:t xml:space="preserve">Conforme dados apresentados no quadro acima, a meta é inviável para ser realizada no município. Visto que, a maioria da população nesta faixa etária, frequentam instituições privadas, localizada nas cidades maiores. </w:t>
      </w:r>
    </w:p>
    <w:p w14:paraId="6090B4FB">
      <w:pPr>
        <w:jc w:val="both"/>
      </w:pPr>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7"/>
        <w:gridCol w:w="6749"/>
      </w:tblGrid>
      <w:tr w14:paraId="02BD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2945134F">
            <w:pPr>
              <w:jc w:val="center"/>
              <w:rPr>
                <w:rFonts w:hint="default"/>
                <w:b/>
                <w:bCs/>
                <w:vertAlign w:val="baseline"/>
                <w:lang w:val="pt-BR"/>
              </w:rPr>
            </w:pPr>
            <w:r>
              <w:rPr>
                <w:rFonts w:hint="default"/>
                <w:b/>
                <w:bCs/>
                <w:vertAlign w:val="baseline"/>
                <w:lang w:val="pt-BR"/>
              </w:rPr>
              <w:t>Ficha metodológica para o indicador 13A - base PNE</w:t>
            </w:r>
          </w:p>
        </w:tc>
      </w:tr>
      <w:tr w14:paraId="17B1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87" w:type="dxa"/>
            <w:tcBorders>
              <w:top w:val="outset" w:color="auto" w:sz="6" w:space="0"/>
              <w:left w:val="outset" w:color="auto" w:sz="6" w:space="0"/>
              <w:bottom w:val="outset" w:color="auto" w:sz="6" w:space="0"/>
              <w:right w:val="outset" w:color="auto" w:sz="6" w:space="0"/>
            </w:tcBorders>
          </w:tcPr>
          <w:p w14:paraId="7002D06B">
            <w:pPr>
              <w:spacing w:after="160" w:line="259" w:lineRule="auto"/>
              <w:rPr>
                <w:b/>
              </w:rPr>
            </w:pPr>
            <w:r>
              <w:rPr>
                <w:b/>
              </w:rPr>
              <w:t>Meta</w:t>
            </w:r>
          </w:p>
        </w:tc>
        <w:tc>
          <w:tcPr>
            <w:tcW w:w="6749" w:type="dxa"/>
            <w:tcBorders>
              <w:top w:val="outset" w:color="auto" w:sz="6" w:space="0"/>
              <w:left w:val="outset" w:color="auto" w:sz="6" w:space="0"/>
              <w:bottom w:val="outset" w:color="auto" w:sz="6" w:space="0"/>
              <w:right w:val="outset" w:color="auto" w:sz="6" w:space="0"/>
            </w:tcBorders>
          </w:tcPr>
          <w:p w14:paraId="0E4B9AB7">
            <w:pPr>
              <w:spacing w:after="160" w:line="259" w:lineRule="auto"/>
              <w:rPr>
                <w:b/>
              </w:rPr>
            </w:pPr>
            <w:r>
              <w:rPr>
                <w:b/>
              </w:rPr>
              <w:t>Texto da meta</w:t>
            </w:r>
          </w:p>
        </w:tc>
      </w:tr>
      <w:tr w14:paraId="5F55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87" w:type="dxa"/>
            <w:tcBorders>
              <w:top w:val="nil"/>
              <w:left w:val="outset" w:color="auto" w:sz="6" w:space="0"/>
              <w:bottom w:val="outset" w:color="auto" w:sz="6" w:space="0"/>
              <w:right w:val="outset" w:color="auto" w:sz="6" w:space="0"/>
            </w:tcBorders>
          </w:tcPr>
          <w:p w14:paraId="69741CFE">
            <w:pPr>
              <w:spacing w:after="160" w:line="259" w:lineRule="auto"/>
            </w:pPr>
            <w:r>
              <w:t>13</w:t>
            </w:r>
          </w:p>
          <w:p w14:paraId="04EC6086">
            <w:pPr>
              <w:spacing w:after="160" w:line="259" w:lineRule="auto"/>
            </w:pPr>
          </w:p>
          <w:p w14:paraId="4FF0F6B5">
            <w:pPr>
              <w:spacing w:after="160" w:line="259" w:lineRule="auto"/>
            </w:pPr>
          </w:p>
        </w:tc>
        <w:tc>
          <w:tcPr>
            <w:tcW w:w="6749" w:type="dxa"/>
            <w:tcBorders>
              <w:top w:val="nil"/>
              <w:left w:val="outset" w:color="auto" w:sz="6" w:space="0"/>
              <w:bottom w:val="outset" w:color="auto" w:sz="6" w:space="0"/>
              <w:right w:val="outset" w:color="auto" w:sz="6" w:space="0"/>
            </w:tcBorders>
          </w:tcPr>
          <w:p w14:paraId="1D252A45">
            <w:pPr>
              <w:spacing w:after="160" w:line="259" w:lineRule="auto"/>
              <w:jc w:val="both"/>
              <w:rPr>
                <w:rFonts w:hint="default"/>
                <w:i/>
                <w:lang w:val="pt-BR"/>
              </w:rPr>
            </w:pPr>
            <w:r>
              <w:rPr>
                <w:rFonts w:hint="default"/>
                <w:bCs/>
                <w:lang w:val="pt-BR"/>
              </w:rPr>
              <w:t xml:space="preserve">Elevar </w:t>
            </w:r>
            <w:r>
              <w:rPr>
                <w:bCs/>
              </w:rPr>
              <w:t>a qualidade da educação superior procurando ampliar a participação de mestres e doutores do corpo docente em efetivo exercício no conjunto do sistema de educação superior</w:t>
            </w:r>
            <w:r>
              <w:rPr>
                <w:rFonts w:hint="default"/>
                <w:bCs/>
                <w:lang w:val="pt-BR"/>
              </w:rPr>
              <w:t xml:space="preserve"> para 75% (setenta e cinco por cento), sendo, do total, no mínimo, 35% (trinta e cinco por cento).</w:t>
            </w:r>
          </w:p>
        </w:tc>
      </w:tr>
      <w:tr w14:paraId="30E3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87" w:type="dxa"/>
            <w:tcBorders>
              <w:top w:val="outset" w:color="auto" w:sz="6" w:space="0"/>
              <w:left w:val="outset" w:color="auto" w:sz="6" w:space="0"/>
              <w:bottom w:val="outset" w:color="auto" w:sz="6" w:space="0"/>
              <w:right w:val="outset" w:color="auto" w:sz="6" w:space="0"/>
            </w:tcBorders>
          </w:tcPr>
          <w:p w14:paraId="06EA98A0">
            <w:pPr>
              <w:spacing w:after="160" w:line="259" w:lineRule="auto"/>
              <w:rPr>
                <w:rFonts w:hint="default"/>
                <w:lang w:val="pt-BR"/>
              </w:rPr>
            </w:pPr>
            <w:r>
              <w:t>Indicador 1</w:t>
            </w:r>
            <w:r>
              <w:rPr>
                <w:rFonts w:hint="default"/>
                <w:lang w:val="pt-BR"/>
              </w:rPr>
              <w:t>3A Nacional</w:t>
            </w:r>
          </w:p>
        </w:tc>
        <w:tc>
          <w:tcPr>
            <w:tcW w:w="6749" w:type="dxa"/>
            <w:tcBorders>
              <w:top w:val="outset" w:color="auto" w:sz="6" w:space="0"/>
              <w:left w:val="outset" w:color="auto" w:sz="6" w:space="0"/>
              <w:bottom w:val="outset" w:color="auto" w:sz="6" w:space="0"/>
              <w:right w:val="outset" w:color="auto" w:sz="6" w:space="0"/>
            </w:tcBorders>
          </w:tcPr>
          <w:p w14:paraId="4C8B99EC">
            <w:pPr>
              <w:spacing w:after="160" w:line="259" w:lineRule="auto"/>
              <w:jc w:val="both"/>
              <w:rPr>
                <w:rFonts w:hint="default"/>
                <w:lang w:val="pt-BR"/>
              </w:rPr>
            </w:pPr>
            <w:r>
              <w:rPr>
                <w:rFonts w:hint="default"/>
                <w:lang w:val="pt-BR"/>
              </w:rPr>
              <w:t>Percentual de docentes com mestrado ou doutorado na educação superior.</w:t>
            </w:r>
          </w:p>
        </w:tc>
      </w:tr>
      <w:tr w14:paraId="3A5C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87" w:type="dxa"/>
            <w:tcBorders>
              <w:top w:val="outset" w:color="auto" w:sz="6" w:space="0"/>
              <w:left w:val="outset" w:color="auto" w:sz="6" w:space="0"/>
              <w:bottom w:val="outset" w:color="auto" w:sz="6" w:space="0"/>
              <w:right w:val="outset" w:color="auto" w:sz="6" w:space="0"/>
            </w:tcBorders>
          </w:tcPr>
          <w:p w14:paraId="3A5C7B03">
            <w:pPr>
              <w:spacing w:after="160" w:line="259" w:lineRule="auto"/>
              <w:rPr>
                <w:rFonts w:hint="default"/>
                <w:lang w:val="pt-BR"/>
              </w:rPr>
            </w:pPr>
            <w:r>
              <w:rPr>
                <w:rFonts w:hint="default"/>
                <w:lang w:val="pt-BR"/>
              </w:rPr>
              <w:t>Indicador 13A Proposto</w:t>
            </w:r>
          </w:p>
        </w:tc>
        <w:tc>
          <w:tcPr>
            <w:tcW w:w="6749" w:type="dxa"/>
            <w:tcBorders>
              <w:top w:val="outset" w:color="auto" w:sz="6" w:space="0"/>
              <w:left w:val="outset" w:color="auto" w:sz="6" w:space="0"/>
              <w:bottom w:val="outset" w:color="auto" w:sz="6" w:space="0"/>
              <w:right w:val="outset" w:color="auto" w:sz="6" w:space="0"/>
            </w:tcBorders>
          </w:tcPr>
          <w:p w14:paraId="242CB2BC">
            <w:pPr>
              <w:spacing w:after="160" w:line="259" w:lineRule="auto"/>
              <w:rPr>
                <w:rFonts w:hint="default"/>
                <w:lang w:val="pt-BR"/>
              </w:rPr>
            </w:pPr>
            <w:r>
              <w:rPr>
                <w:rFonts w:hint="default"/>
                <w:lang w:val="pt-BR"/>
              </w:rPr>
              <w:t>Nenhum</w:t>
            </w:r>
          </w:p>
        </w:tc>
      </w:tr>
      <w:tr w14:paraId="5D56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87" w:type="dxa"/>
            <w:tcBorders>
              <w:top w:val="nil"/>
              <w:left w:val="outset" w:color="auto" w:sz="6" w:space="0"/>
              <w:bottom w:val="outset" w:color="auto" w:sz="6" w:space="0"/>
              <w:right w:val="outset" w:color="auto" w:sz="6" w:space="0"/>
            </w:tcBorders>
          </w:tcPr>
          <w:p w14:paraId="1FC98728">
            <w:pPr>
              <w:spacing w:after="160" w:line="259" w:lineRule="auto"/>
            </w:pPr>
            <w:r>
              <w:t>Fórmula de cálculo</w:t>
            </w:r>
          </w:p>
        </w:tc>
        <w:tc>
          <w:tcPr>
            <w:tcW w:w="6749" w:type="dxa"/>
            <w:tcBorders>
              <w:top w:val="nil"/>
              <w:left w:val="outset" w:color="auto" w:sz="6" w:space="0"/>
              <w:bottom w:val="outset" w:color="auto" w:sz="6" w:space="0"/>
              <w:right w:val="outset" w:color="auto" w:sz="6" w:space="0"/>
            </w:tcBorders>
          </w:tcPr>
          <w:tbl>
            <w:tblPr>
              <w:tblStyle w:val="3"/>
              <w:tblW w:w="0" w:type="auto"/>
              <w:tblInd w:w="-267" w:type="dxa"/>
              <w:tblLayout w:type="autofit"/>
              <w:tblCellMar>
                <w:top w:w="15" w:type="dxa"/>
                <w:left w:w="15" w:type="dxa"/>
                <w:bottom w:w="15" w:type="dxa"/>
                <w:right w:w="15" w:type="dxa"/>
              </w:tblCellMar>
            </w:tblPr>
            <w:tblGrid>
              <w:gridCol w:w="6719"/>
            </w:tblGrid>
            <w:tr w14:paraId="132E6A69">
              <w:tblPrEx>
                <w:tblCellMar>
                  <w:top w:w="15" w:type="dxa"/>
                  <w:left w:w="15" w:type="dxa"/>
                  <w:bottom w:w="15" w:type="dxa"/>
                  <w:right w:w="15" w:type="dxa"/>
                </w:tblCellMar>
              </w:tblPrEx>
              <w:tc>
                <w:tcPr>
                  <w:tcW w:w="6899" w:type="dxa"/>
                  <w:tcBorders>
                    <w:top w:val="nil"/>
                    <w:left w:val="nil"/>
                    <w:bottom w:val="nil"/>
                    <w:right w:val="nil"/>
                  </w:tcBorders>
                </w:tcPr>
                <w:p w14:paraId="561CB01D">
                  <w:pPr>
                    <w:jc w:val="both"/>
                  </w:pPr>
                  <w:r>
                    <w:t>(</w:t>
                  </w:r>
                  <w:r>
                    <w:rPr>
                      <w:rFonts w:hint="default"/>
                      <w:lang w:val="pt-BR"/>
                    </w:rPr>
                    <w:t xml:space="preserve">    </w:t>
                  </w:r>
                  <w:r>
                    <w:t>Docentes com mestrado ou doutorado na Educação Superior / Total de d</w:t>
                  </w:r>
                  <w:r>
                    <w:rPr>
                      <w:rFonts w:hint="default"/>
                      <w:lang w:val="pt-BR"/>
                    </w:rPr>
                    <w:t xml:space="preserve">       d</w:t>
                  </w:r>
                  <w:r>
                    <w:t>ocentes na Educação Superior) x 100</w:t>
                  </w:r>
                </w:p>
              </w:tc>
            </w:tr>
          </w:tbl>
          <w:p w14:paraId="7AEB307D">
            <w:pPr>
              <w:spacing w:after="160" w:line="259" w:lineRule="auto"/>
            </w:pPr>
          </w:p>
        </w:tc>
      </w:tr>
      <w:tr w14:paraId="33C9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87"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1071"/>
            </w:tblGrid>
            <w:tr w14:paraId="048E6F59">
              <w:tblPrEx>
                <w:tblCellMar>
                  <w:top w:w="15" w:type="dxa"/>
                  <w:left w:w="15" w:type="dxa"/>
                  <w:bottom w:w="15" w:type="dxa"/>
                  <w:right w:w="15" w:type="dxa"/>
                </w:tblCellMar>
              </w:tblPrEx>
              <w:tc>
                <w:tcPr>
                  <w:tcW w:w="0" w:type="auto"/>
                  <w:tcBorders>
                    <w:top w:val="nil"/>
                    <w:left w:val="nil"/>
                    <w:bottom w:val="nil"/>
                    <w:right w:val="nil"/>
                  </w:tcBorders>
                </w:tcPr>
                <w:p w14:paraId="22A2ADDE">
                  <w:r>
                    <w:t>Justificativa</w:t>
                  </w:r>
                </w:p>
              </w:tc>
            </w:tr>
          </w:tbl>
          <w:p w14:paraId="67FB1979">
            <w:pPr>
              <w:spacing w:after="160" w:line="259" w:lineRule="auto"/>
            </w:pPr>
          </w:p>
        </w:tc>
        <w:tc>
          <w:tcPr>
            <w:tcW w:w="6749"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225"/>
              <w:gridCol w:w="6494"/>
            </w:tblGrid>
            <w:tr w14:paraId="10377514">
              <w:tblPrEx>
                <w:tblCellMar>
                  <w:top w:w="15" w:type="dxa"/>
                  <w:left w:w="15" w:type="dxa"/>
                  <w:bottom w:w="15" w:type="dxa"/>
                  <w:right w:w="15" w:type="dxa"/>
                </w:tblCellMar>
              </w:tblPrEx>
              <w:tc>
                <w:tcPr>
                  <w:tcW w:w="225" w:type="dxa"/>
                  <w:tcBorders>
                    <w:top w:val="nil"/>
                    <w:left w:val="nil"/>
                    <w:bottom w:val="nil"/>
                    <w:right w:val="nil"/>
                  </w:tcBorders>
                </w:tcPr>
                <w:p w14:paraId="49AC0552">
                  <w:pPr>
                    <w:jc w:val="both"/>
                  </w:pPr>
                </w:p>
                <w:p w14:paraId="7F3A5A34">
                  <w:pPr>
                    <w:jc w:val="both"/>
                  </w:pPr>
                </w:p>
              </w:tc>
              <w:tc>
                <w:tcPr>
                  <w:tcW w:w="0" w:type="auto"/>
                  <w:tcBorders>
                    <w:top w:val="nil"/>
                    <w:left w:val="nil"/>
                    <w:bottom w:val="nil"/>
                    <w:right w:val="nil"/>
                  </w:tcBorders>
                </w:tcPr>
                <w:p w14:paraId="6BE26AC1">
                  <w:pPr>
                    <w:jc w:val="both"/>
                  </w:pPr>
                  <w:r>
                    <w:t>Não se aplica a municípios. O limitador é que o indicador só é possível ser replicado para municípios em que há oferta da educação superior. Ainda assim, o dado é pouco fidedigno pois o professor pode ou não residir no mesmo município da instituição de ensino superior. A fonte de dados é o Censo do Ensino Superior do INEP. A alternativa seria não medir o indicador para município, pois não avalia o alcance da meta no âmbito municipal.</w:t>
                  </w:r>
                </w:p>
              </w:tc>
            </w:tr>
          </w:tbl>
          <w:p w14:paraId="6F01798F">
            <w:pPr>
              <w:spacing w:after="160" w:line="259" w:lineRule="auto"/>
            </w:pPr>
          </w:p>
        </w:tc>
      </w:tr>
    </w:tbl>
    <w:p w14:paraId="6D6142C7">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7"/>
        <w:gridCol w:w="25"/>
        <w:gridCol w:w="6724"/>
      </w:tblGrid>
      <w:tr w14:paraId="4560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36" w:type="dxa"/>
            <w:gridSpan w:val="3"/>
          </w:tcPr>
          <w:p w14:paraId="742ABD66">
            <w:pPr>
              <w:jc w:val="center"/>
              <w:rPr>
                <w:rFonts w:hint="default"/>
                <w:b/>
                <w:bCs/>
                <w:vertAlign w:val="baseline"/>
                <w:lang w:val="pt-BR"/>
              </w:rPr>
            </w:pPr>
            <w:r>
              <w:rPr>
                <w:rFonts w:hint="default"/>
                <w:b/>
                <w:bCs/>
                <w:vertAlign w:val="baseline"/>
                <w:lang w:val="pt-BR"/>
              </w:rPr>
              <w:t>Ficha metodológica para o indicador 13B - base PNE</w:t>
            </w:r>
          </w:p>
        </w:tc>
      </w:tr>
      <w:tr w14:paraId="3992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87" w:type="dxa"/>
            <w:tcBorders>
              <w:top w:val="outset" w:color="auto" w:sz="6" w:space="0"/>
              <w:left w:val="outset" w:color="auto" w:sz="6" w:space="0"/>
              <w:bottom w:val="outset" w:color="auto" w:sz="6" w:space="0"/>
              <w:right w:val="outset" w:color="auto" w:sz="6" w:space="0"/>
            </w:tcBorders>
          </w:tcPr>
          <w:p w14:paraId="63760ED2">
            <w:pPr>
              <w:spacing w:after="160" w:line="259" w:lineRule="auto"/>
              <w:rPr>
                <w:b/>
              </w:rPr>
            </w:pPr>
            <w:r>
              <w:rPr>
                <w:b/>
              </w:rPr>
              <w:t>Meta</w:t>
            </w:r>
          </w:p>
        </w:tc>
        <w:tc>
          <w:tcPr>
            <w:tcW w:w="6749" w:type="dxa"/>
            <w:gridSpan w:val="2"/>
            <w:tcBorders>
              <w:top w:val="outset" w:color="auto" w:sz="6" w:space="0"/>
              <w:left w:val="outset" w:color="auto" w:sz="6" w:space="0"/>
              <w:bottom w:val="outset" w:color="auto" w:sz="6" w:space="0"/>
              <w:right w:val="outset" w:color="auto" w:sz="6" w:space="0"/>
            </w:tcBorders>
          </w:tcPr>
          <w:p w14:paraId="4AAC8C1F">
            <w:pPr>
              <w:spacing w:after="160" w:line="259" w:lineRule="auto"/>
              <w:rPr>
                <w:b/>
              </w:rPr>
            </w:pPr>
            <w:r>
              <w:rPr>
                <w:b/>
              </w:rPr>
              <w:t>Texto da meta</w:t>
            </w:r>
          </w:p>
        </w:tc>
      </w:tr>
      <w:tr w14:paraId="4A90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87" w:type="dxa"/>
            <w:tcBorders>
              <w:top w:val="nil"/>
              <w:left w:val="outset" w:color="auto" w:sz="6" w:space="0"/>
              <w:bottom w:val="outset" w:color="auto" w:sz="6" w:space="0"/>
              <w:right w:val="outset" w:color="auto" w:sz="6" w:space="0"/>
            </w:tcBorders>
          </w:tcPr>
          <w:p w14:paraId="240FFF56">
            <w:pPr>
              <w:spacing w:after="160" w:line="259" w:lineRule="auto"/>
            </w:pPr>
            <w:r>
              <w:t>13</w:t>
            </w:r>
          </w:p>
          <w:p w14:paraId="104EDE21">
            <w:pPr>
              <w:spacing w:after="160" w:line="259" w:lineRule="auto"/>
            </w:pPr>
          </w:p>
          <w:p w14:paraId="27FD7CD8">
            <w:pPr>
              <w:spacing w:after="160" w:line="259" w:lineRule="auto"/>
            </w:pPr>
          </w:p>
        </w:tc>
        <w:tc>
          <w:tcPr>
            <w:tcW w:w="6749" w:type="dxa"/>
            <w:gridSpan w:val="2"/>
            <w:tcBorders>
              <w:top w:val="nil"/>
              <w:left w:val="outset" w:color="auto" w:sz="6" w:space="0"/>
              <w:bottom w:val="outset" w:color="auto" w:sz="6" w:space="0"/>
              <w:right w:val="outset" w:color="auto" w:sz="6" w:space="0"/>
            </w:tcBorders>
          </w:tcPr>
          <w:p w14:paraId="607B91DF">
            <w:pPr>
              <w:spacing w:after="160" w:line="259" w:lineRule="auto"/>
              <w:jc w:val="both"/>
              <w:rPr>
                <w:rFonts w:hint="default"/>
                <w:i/>
                <w:lang w:val="pt-BR"/>
              </w:rPr>
            </w:pPr>
            <w:r>
              <w:rPr>
                <w:rFonts w:hint="default"/>
                <w:bCs/>
                <w:lang w:val="pt-BR"/>
              </w:rPr>
              <w:t xml:space="preserve">Elevar </w:t>
            </w:r>
            <w:r>
              <w:rPr>
                <w:bCs/>
              </w:rPr>
              <w:t>a qualidade da educação superior procurando ampliar a participação de mestres e doutores do corpo docente em efetivo exercício no conjunto do sistema de educação superior</w:t>
            </w:r>
            <w:r>
              <w:rPr>
                <w:rFonts w:hint="default"/>
                <w:bCs/>
                <w:lang w:val="pt-BR"/>
              </w:rPr>
              <w:t xml:space="preserve"> para 75% (setenta e cinco por cento), sendo, do total, no mínimo, 35% (trinta e cinco por cento).</w:t>
            </w:r>
          </w:p>
        </w:tc>
      </w:tr>
      <w:tr w14:paraId="5165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12" w:type="dxa"/>
            <w:gridSpan w:val="2"/>
            <w:tcBorders>
              <w:top w:val="outset" w:color="auto" w:sz="6" w:space="0"/>
              <w:left w:val="outset" w:color="auto" w:sz="6" w:space="0"/>
              <w:bottom w:val="outset" w:color="auto" w:sz="6" w:space="0"/>
              <w:right w:val="outset" w:color="auto" w:sz="6" w:space="0"/>
            </w:tcBorders>
          </w:tcPr>
          <w:p w14:paraId="11937129">
            <w:pPr>
              <w:spacing w:after="160" w:line="259" w:lineRule="auto"/>
              <w:rPr>
                <w:rFonts w:hint="default"/>
                <w:lang w:val="pt-BR"/>
              </w:rPr>
            </w:pPr>
            <w:r>
              <w:rPr>
                <w:rFonts w:hint="default"/>
                <w:lang w:val="pt-BR"/>
              </w:rPr>
              <w:t>Indicador 13B Nacional</w:t>
            </w:r>
          </w:p>
        </w:tc>
        <w:tc>
          <w:tcPr>
            <w:tcW w:w="6724" w:type="dxa"/>
            <w:tcBorders>
              <w:top w:val="outset" w:color="auto" w:sz="6" w:space="0"/>
              <w:left w:val="outset" w:color="auto" w:sz="6" w:space="0"/>
              <w:bottom w:val="outset" w:color="auto" w:sz="6" w:space="0"/>
              <w:right w:val="outset" w:color="auto" w:sz="6" w:space="0"/>
            </w:tcBorders>
          </w:tcPr>
          <w:p w14:paraId="214F6E6F">
            <w:pPr>
              <w:spacing w:after="160" w:line="259" w:lineRule="auto"/>
              <w:rPr>
                <w:rFonts w:hint="default"/>
                <w:lang w:val="pt-BR"/>
              </w:rPr>
            </w:pPr>
            <w:r>
              <w:rPr>
                <w:rFonts w:hint="default"/>
                <w:lang w:val="pt-BR"/>
              </w:rPr>
              <w:t>Percentual de docentes com doutorado na educação superior.</w:t>
            </w:r>
          </w:p>
        </w:tc>
      </w:tr>
      <w:tr w14:paraId="76E0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12" w:type="dxa"/>
            <w:gridSpan w:val="2"/>
            <w:tcBorders>
              <w:top w:val="outset" w:color="auto" w:sz="6" w:space="0"/>
              <w:left w:val="outset" w:color="auto" w:sz="6" w:space="0"/>
              <w:bottom w:val="outset" w:color="auto" w:sz="6" w:space="0"/>
              <w:right w:val="outset" w:color="auto" w:sz="6" w:space="0"/>
            </w:tcBorders>
          </w:tcPr>
          <w:p w14:paraId="0FDF9B42">
            <w:pPr>
              <w:spacing w:after="160" w:line="259" w:lineRule="auto"/>
              <w:rPr>
                <w:rFonts w:hint="default"/>
                <w:lang w:val="pt-BR"/>
              </w:rPr>
            </w:pPr>
            <w:r>
              <w:t>Indicador</w:t>
            </w:r>
            <w:r>
              <w:rPr>
                <w:rFonts w:hint="default"/>
                <w:lang w:val="pt-BR"/>
              </w:rPr>
              <w:t xml:space="preserve"> 13B Proposto</w:t>
            </w:r>
          </w:p>
        </w:tc>
        <w:tc>
          <w:tcPr>
            <w:tcW w:w="6724" w:type="dxa"/>
            <w:tcBorders>
              <w:top w:val="outset" w:color="auto" w:sz="6" w:space="0"/>
              <w:left w:val="outset" w:color="auto" w:sz="6" w:space="0"/>
              <w:bottom w:val="outset" w:color="auto" w:sz="6" w:space="0"/>
              <w:right w:val="outset" w:color="auto" w:sz="6" w:space="0"/>
            </w:tcBorders>
          </w:tcPr>
          <w:p w14:paraId="46CC4310">
            <w:pPr>
              <w:spacing w:after="160" w:line="259" w:lineRule="auto"/>
            </w:pPr>
            <w:r>
              <w:t>Nenhum.</w:t>
            </w:r>
          </w:p>
        </w:tc>
      </w:tr>
      <w:tr w14:paraId="55CD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12" w:type="dxa"/>
            <w:gridSpan w:val="2"/>
            <w:tcBorders>
              <w:top w:val="nil"/>
              <w:left w:val="outset" w:color="auto" w:sz="6" w:space="0"/>
              <w:bottom w:val="outset" w:color="auto" w:sz="6" w:space="0"/>
              <w:right w:val="outset" w:color="auto" w:sz="6" w:space="0"/>
            </w:tcBorders>
          </w:tcPr>
          <w:p w14:paraId="6AED65FE">
            <w:pPr>
              <w:spacing w:after="160" w:line="259" w:lineRule="auto"/>
            </w:pPr>
            <w:r>
              <w:t>Fórmula de cálculo</w:t>
            </w:r>
          </w:p>
        </w:tc>
        <w:tc>
          <w:tcPr>
            <w:tcW w:w="6724" w:type="dxa"/>
            <w:tcBorders>
              <w:top w:val="nil"/>
              <w:left w:val="outset" w:color="auto" w:sz="6" w:space="0"/>
              <w:bottom w:val="outset" w:color="auto" w:sz="6" w:space="0"/>
              <w:right w:val="outset" w:color="auto" w:sz="6" w:space="0"/>
            </w:tcBorders>
          </w:tcPr>
          <w:p w14:paraId="6D5A74BA">
            <w:pPr>
              <w:spacing w:after="160" w:line="259" w:lineRule="auto"/>
            </w:pPr>
            <w:r>
              <w:t>(Docentes com doutorado na Educação Superior / Total de docentes na Educação Superior) x 100</w:t>
            </w:r>
          </w:p>
        </w:tc>
      </w:tr>
      <w:tr w14:paraId="5686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12" w:type="dxa"/>
            <w:gridSpan w:val="2"/>
            <w:tcBorders>
              <w:top w:val="nil"/>
              <w:left w:val="outset" w:color="auto" w:sz="6" w:space="0"/>
              <w:bottom w:val="outset" w:color="auto" w:sz="6" w:space="0"/>
              <w:right w:val="outset" w:color="auto" w:sz="6" w:space="0"/>
            </w:tcBorders>
          </w:tcPr>
          <w:p w14:paraId="4AA21C97">
            <w:pPr>
              <w:spacing w:after="160" w:line="259" w:lineRule="auto"/>
            </w:pPr>
            <w:r>
              <w:t>Justificativa</w:t>
            </w:r>
          </w:p>
          <w:p w14:paraId="24909422">
            <w:pPr>
              <w:spacing w:after="160" w:line="259" w:lineRule="auto"/>
            </w:pPr>
          </w:p>
        </w:tc>
        <w:tc>
          <w:tcPr>
            <w:tcW w:w="6724" w:type="dxa"/>
            <w:tcBorders>
              <w:top w:val="nil"/>
              <w:left w:val="outset" w:color="auto" w:sz="6" w:space="0"/>
              <w:bottom w:val="outset" w:color="auto" w:sz="6" w:space="0"/>
              <w:right w:val="outset" w:color="auto" w:sz="6" w:space="0"/>
            </w:tcBorders>
          </w:tcPr>
          <w:p w14:paraId="1BF545CE">
            <w:pPr>
              <w:spacing w:after="160" w:line="259" w:lineRule="auto"/>
              <w:jc w:val="both"/>
            </w:pPr>
            <w:r>
              <w:t>Não se aplica a municípios. O limitador é que o indicador só é possíveis ser replicado para municípios em que há oferta da educação superior. Ainda assim, o dado é pouco fidedigno pois o professor pode ou não residir no mesmo município da instituição de ensino superior. A fonte de dados é o Censo do Ensino Superior do INEP. A alternativa seria não medir o indicador para município, pois não avalia o alcance da meta no âmbito municipal.</w:t>
            </w:r>
          </w:p>
        </w:tc>
      </w:tr>
    </w:tbl>
    <w:p w14:paraId="0380A4C5">
      <w:r>
        <w:t xml:space="preserve"> </w:t>
      </w:r>
    </w:p>
    <w:p w14:paraId="26199551">
      <w:r>
        <w:t>Conforme dados apresentados no quadro acima, a meta não se aplica a municípios.</w:t>
      </w:r>
    </w:p>
    <w:p w14:paraId="6C677EEA">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3"/>
        <w:gridCol w:w="6743"/>
      </w:tblGrid>
      <w:tr w14:paraId="240B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1F4251EF">
            <w:pPr>
              <w:jc w:val="center"/>
              <w:rPr>
                <w:rFonts w:hint="default"/>
                <w:b/>
                <w:bCs/>
                <w:vertAlign w:val="baseline"/>
                <w:lang w:val="pt-BR"/>
              </w:rPr>
            </w:pPr>
            <w:r>
              <w:rPr>
                <w:rFonts w:hint="default"/>
                <w:b/>
                <w:bCs/>
                <w:vertAlign w:val="baseline"/>
                <w:lang w:val="pt-BR"/>
              </w:rPr>
              <w:t>Ficha metodológica para o indicador 14A - base PNE</w:t>
            </w:r>
          </w:p>
        </w:tc>
      </w:tr>
      <w:tr w14:paraId="09B9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3" w:type="dxa"/>
            <w:tcBorders>
              <w:top w:val="outset" w:color="auto" w:sz="6" w:space="0"/>
              <w:left w:val="outset" w:color="auto" w:sz="6" w:space="0"/>
              <w:bottom w:val="outset" w:color="auto" w:sz="6" w:space="0"/>
              <w:right w:val="outset" w:color="auto" w:sz="6" w:space="0"/>
            </w:tcBorders>
          </w:tcPr>
          <w:p w14:paraId="018B285B">
            <w:pPr>
              <w:spacing w:after="160" w:line="259" w:lineRule="auto"/>
              <w:rPr>
                <w:b/>
                <w:color w:val="auto"/>
              </w:rPr>
            </w:pPr>
            <w:r>
              <w:rPr>
                <w:b/>
                <w:color w:val="auto"/>
              </w:rPr>
              <w:t>Meta</w:t>
            </w:r>
          </w:p>
        </w:tc>
        <w:tc>
          <w:tcPr>
            <w:tcW w:w="6743" w:type="dxa"/>
            <w:tcBorders>
              <w:top w:val="outset" w:color="auto" w:sz="6" w:space="0"/>
              <w:left w:val="outset" w:color="auto" w:sz="6" w:space="0"/>
              <w:bottom w:val="outset" w:color="auto" w:sz="6" w:space="0"/>
              <w:right w:val="outset" w:color="auto" w:sz="6" w:space="0"/>
            </w:tcBorders>
          </w:tcPr>
          <w:p w14:paraId="175361EE">
            <w:pPr>
              <w:spacing w:after="160" w:line="259" w:lineRule="auto"/>
              <w:rPr>
                <w:b/>
                <w:color w:val="auto"/>
              </w:rPr>
            </w:pPr>
            <w:r>
              <w:rPr>
                <w:b/>
                <w:color w:val="auto"/>
              </w:rPr>
              <w:t>Texto da meta</w:t>
            </w:r>
          </w:p>
        </w:tc>
      </w:tr>
      <w:tr w14:paraId="2B4D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3" w:type="dxa"/>
            <w:tcBorders>
              <w:top w:val="nil"/>
              <w:left w:val="outset" w:color="auto" w:sz="6" w:space="0"/>
              <w:bottom w:val="outset" w:color="auto" w:sz="6" w:space="0"/>
              <w:right w:val="outset" w:color="auto" w:sz="6" w:space="0"/>
            </w:tcBorders>
          </w:tcPr>
          <w:p w14:paraId="153B4A04">
            <w:pPr>
              <w:spacing w:after="160" w:line="259" w:lineRule="auto"/>
            </w:pPr>
            <w:r>
              <w:t>14</w:t>
            </w:r>
          </w:p>
          <w:p w14:paraId="7CEF207B">
            <w:pPr>
              <w:spacing w:after="160" w:line="259" w:lineRule="auto"/>
            </w:pPr>
          </w:p>
        </w:tc>
        <w:tc>
          <w:tcPr>
            <w:tcW w:w="6743" w:type="dxa"/>
            <w:tcBorders>
              <w:top w:val="nil"/>
              <w:left w:val="outset" w:color="auto" w:sz="6" w:space="0"/>
              <w:bottom w:val="outset" w:color="auto" w:sz="6" w:space="0"/>
              <w:right w:val="outset" w:color="auto" w:sz="6" w:space="0"/>
            </w:tcBorders>
          </w:tcPr>
          <w:p w14:paraId="039DD112">
            <w:pPr>
              <w:spacing w:after="160" w:line="259" w:lineRule="auto"/>
              <w:jc w:val="both"/>
              <w:rPr>
                <w:rFonts w:hint="default"/>
                <w:i/>
                <w:lang w:val="pt-BR"/>
              </w:rPr>
            </w:pPr>
            <w:r>
              <w:rPr>
                <w:rFonts w:hint="default"/>
                <w:bCs/>
                <w:lang w:val="pt-BR"/>
              </w:rPr>
              <w:t>Elevar gradualmente o número d</w:t>
            </w:r>
            <w:r>
              <w:rPr>
                <w:bCs/>
              </w:rPr>
              <w:t>e matrículas na pós-graduação stricto sensu</w:t>
            </w:r>
            <w:r>
              <w:rPr>
                <w:rFonts w:hint="default"/>
                <w:bCs/>
                <w:lang w:val="pt-BR"/>
              </w:rPr>
              <w:t>, de modo a atingir a titulação anual de 60.000 (sessenta mil) mestres e 25.000 (vinte e cinco mil) doutores.</w:t>
            </w:r>
          </w:p>
        </w:tc>
      </w:tr>
      <w:tr w14:paraId="40BA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3" w:type="dxa"/>
            <w:tcBorders>
              <w:top w:val="outset" w:color="auto" w:sz="6" w:space="0"/>
              <w:left w:val="outset" w:color="auto" w:sz="6" w:space="0"/>
              <w:bottom w:val="outset" w:color="auto" w:sz="6" w:space="0"/>
              <w:right w:val="outset" w:color="auto" w:sz="6" w:space="0"/>
            </w:tcBorders>
          </w:tcPr>
          <w:p w14:paraId="64DCF359">
            <w:pPr>
              <w:spacing w:after="160" w:line="259" w:lineRule="auto"/>
              <w:rPr>
                <w:rFonts w:hint="default"/>
                <w:lang w:val="pt-BR"/>
              </w:rPr>
            </w:pPr>
            <w:r>
              <w:rPr>
                <w:rFonts w:hint="default"/>
                <w:lang w:val="pt-BR"/>
              </w:rPr>
              <w:t>Indicador 14A Nacional</w:t>
            </w:r>
          </w:p>
        </w:tc>
        <w:tc>
          <w:tcPr>
            <w:tcW w:w="6743" w:type="dxa"/>
            <w:tcBorders>
              <w:top w:val="outset" w:color="auto" w:sz="6" w:space="0"/>
              <w:left w:val="outset" w:color="auto" w:sz="6" w:space="0"/>
              <w:bottom w:val="outset" w:color="auto" w:sz="6" w:space="0"/>
              <w:right w:val="outset" w:color="auto" w:sz="6" w:space="0"/>
            </w:tcBorders>
          </w:tcPr>
          <w:p w14:paraId="56E012E5">
            <w:pPr>
              <w:spacing w:after="160" w:line="259" w:lineRule="auto"/>
              <w:rPr>
                <w:rFonts w:hint="default"/>
                <w:lang w:val="pt-BR"/>
              </w:rPr>
            </w:pPr>
            <w:r>
              <w:rPr>
                <w:rFonts w:hint="default"/>
                <w:lang w:val="pt-BR"/>
              </w:rPr>
              <w:t>Número de títulos de mestrado concedidos por ano.</w:t>
            </w:r>
          </w:p>
        </w:tc>
      </w:tr>
      <w:tr w14:paraId="2634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3" w:type="dxa"/>
            <w:tcBorders>
              <w:top w:val="outset" w:color="auto" w:sz="6" w:space="0"/>
              <w:left w:val="outset" w:color="auto" w:sz="6" w:space="0"/>
              <w:bottom w:val="outset" w:color="auto" w:sz="6" w:space="0"/>
              <w:right w:val="outset" w:color="auto" w:sz="6" w:space="0"/>
            </w:tcBorders>
          </w:tcPr>
          <w:p w14:paraId="1FAAEFC3">
            <w:pPr>
              <w:spacing w:after="160" w:line="259" w:lineRule="auto"/>
              <w:rPr>
                <w:rFonts w:hint="default"/>
                <w:lang w:val="pt-BR"/>
              </w:rPr>
            </w:pPr>
            <w:r>
              <w:t>Indicador 1</w:t>
            </w:r>
            <w:r>
              <w:rPr>
                <w:rFonts w:hint="default"/>
                <w:lang w:val="pt-BR"/>
              </w:rPr>
              <w:t>4A Proposto</w:t>
            </w:r>
          </w:p>
        </w:tc>
        <w:tc>
          <w:tcPr>
            <w:tcW w:w="6743" w:type="dxa"/>
            <w:tcBorders>
              <w:top w:val="outset" w:color="auto" w:sz="6" w:space="0"/>
              <w:left w:val="outset" w:color="auto" w:sz="6" w:space="0"/>
              <w:bottom w:val="outset" w:color="auto" w:sz="6" w:space="0"/>
              <w:right w:val="outset" w:color="auto" w:sz="6" w:space="0"/>
            </w:tcBorders>
          </w:tcPr>
          <w:p w14:paraId="40379838">
            <w:pPr>
              <w:spacing w:after="160" w:line="259" w:lineRule="auto"/>
            </w:pPr>
            <w:r>
              <w:t>Nenhum</w:t>
            </w:r>
          </w:p>
        </w:tc>
      </w:tr>
      <w:tr w14:paraId="2BA2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3" w:type="dxa"/>
            <w:tcBorders>
              <w:top w:val="nil"/>
              <w:left w:val="outset" w:color="auto" w:sz="6" w:space="0"/>
              <w:bottom w:val="outset" w:color="auto" w:sz="6" w:space="0"/>
              <w:right w:val="outset" w:color="auto" w:sz="6" w:space="0"/>
            </w:tcBorders>
          </w:tcPr>
          <w:p w14:paraId="00673470">
            <w:pPr>
              <w:spacing w:after="160" w:line="259" w:lineRule="auto"/>
            </w:pPr>
            <w:r>
              <w:t>Fórmula de cálculo</w:t>
            </w:r>
          </w:p>
        </w:tc>
        <w:tc>
          <w:tcPr>
            <w:tcW w:w="6743"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4363"/>
            </w:tblGrid>
            <w:tr w14:paraId="32C3ACFC">
              <w:tblPrEx>
                <w:tblCellMar>
                  <w:top w:w="15" w:type="dxa"/>
                  <w:left w:w="15" w:type="dxa"/>
                  <w:bottom w:w="15" w:type="dxa"/>
                  <w:right w:w="15" w:type="dxa"/>
                </w:tblCellMar>
              </w:tblPrEx>
              <w:tc>
                <w:tcPr>
                  <w:tcW w:w="0" w:type="auto"/>
                  <w:tcBorders>
                    <w:top w:val="nil"/>
                    <w:left w:val="nil"/>
                    <w:bottom w:val="nil"/>
                    <w:right w:val="nil"/>
                  </w:tcBorders>
                </w:tcPr>
                <w:p w14:paraId="62A34E7F">
                  <w:pPr>
                    <w:rPr>
                      <w:rFonts w:hint="default"/>
                      <w:lang w:val="pt-BR"/>
                    </w:rPr>
                  </w:pPr>
                  <w:r>
                    <w:t>Títulos de mestrado concedidos por ano</w:t>
                  </w:r>
                  <w:r>
                    <w:rPr>
                      <w:rFonts w:hint="default"/>
                      <w:lang w:val="pt-BR"/>
                    </w:rPr>
                    <w:t xml:space="preserve"> no país.</w:t>
                  </w:r>
                </w:p>
              </w:tc>
            </w:tr>
          </w:tbl>
          <w:p w14:paraId="0AB1D694">
            <w:pPr>
              <w:spacing w:after="160" w:line="259" w:lineRule="auto"/>
            </w:pPr>
          </w:p>
        </w:tc>
      </w:tr>
      <w:tr w14:paraId="3966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3" w:type="dxa"/>
            <w:tcBorders>
              <w:top w:val="nil"/>
              <w:left w:val="outset" w:color="auto" w:sz="6" w:space="0"/>
              <w:bottom w:val="outset" w:color="auto" w:sz="6" w:space="0"/>
              <w:right w:val="outset" w:color="auto" w:sz="6" w:space="0"/>
            </w:tcBorders>
          </w:tcPr>
          <w:p w14:paraId="2278A42E">
            <w:pPr>
              <w:spacing w:after="160" w:line="259" w:lineRule="auto"/>
            </w:pPr>
            <w:r>
              <w:t>Justificativa</w:t>
            </w:r>
          </w:p>
          <w:p w14:paraId="2EE27BFF">
            <w:pPr>
              <w:spacing w:after="160" w:line="259" w:lineRule="auto"/>
            </w:pPr>
          </w:p>
        </w:tc>
        <w:tc>
          <w:tcPr>
            <w:tcW w:w="6743"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225"/>
              <w:gridCol w:w="6488"/>
            </w:tblGrid>
            <w:tr w14:paraId="2633D27C">
              <w:tblPrEx>
                <w:tblCellMar>
                  <w:top w:w="15" w:type="dxa"/>
                  <w:left w:w="15" w:type="dxa"/>
                  <w:bottom w:w="15" w:type="dxa"/>
                  <w:right w:w="15" w:type="dxa"/>
                </w:tblCellMar>
              </w:tblPrEx>
              <w:tc>
                <w:tcPr>
                  <w:tcW w:w="225" w:type="dxa"/>
                  <w:tcBorders>
                    <w:top w:val="nil"/>
                    <w:left w:val="nil"/>
                    <w:bottom w:val="nil"/>
                    <w:right w:val="nil"/>
                  </w:tcBorders>
                </w:tcPr>
                <w:p w14:paraId="11FB7EF1"/>
                <w:p w14:paraId="5E8E1510"/>
              </w:tc>
              <w:tc>
                <w:tcPr>
                  <w:tcW w:w="0" w:type="auto"/>
                  <w:tcBorders>
                    <w:top w:val="nil"/>
                    <w:left w:val="nil"/>
                    <w:bottom w:val="nil"/>
                    <w:right w:val="nil"/>
                  </w:tcBorders>
                </w:tcPr>
                <w:p w14:paraId="44B3BEA9">
                  <w:pPr>
                    <w:jc w:val="both"/>
                  </w:pPr>
                  <w:r>
                    <w:t>Não se aplica a municípios. O limitador para o indicador, é que a Coordenação de Aperfeiçoamento de Pessoal de Nível Superior (CAPES) divulga o dado apenas para o estado, ressaltando-se que esse dado se refere ao estado onde foi concedido o título. O dado não é disponível para municípios.</w:t>
                  </w:r>
                </w:p>
              </w:tc>
            </w:tr>
          </w:tbl>
          <w:p w14:paraId="72581077">
            <w:pPr>
              <w:spacing w:after="160" w:line="259" w:lineRule="auto"/>
            </w:pPr>
          </w:p>
        </w:tc>
      </w:tr>
    </w:tbl>
    <w:p w14:paraId="4F90B2CB"/>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5"/>
        <w:gridCol w:w="6741"/>
      </w:tblGrid>
      <w:tr w14:paraId="0E39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2F7A5571">
            <w:pPr>
              <w:jc w:val="center"/>
              <w:rPr>
                <w:rFonts w:hint="default"/>
                <w:b/>
                <w:bCs/>
                <w:vertAlign w:val="baseline"/>
                <w:lang w:val="pt-BR"/>
              </w:rPr>
            </w:pPr>
            <w:r>
              <w:rPr>
                <w:rFonts w:hint="default"/>
                <w:b/>
                <w:bCs/>
                <w:vertAlign w:val="baseline"/>
                <w:lang w:val="pt-BR"/>
              </w:rPr>
              <w:t>Ficha metodológica para o indicador 14B - base PNE</w:t>
            </w:r>
          </w:p>
        </w:tc>
      </w:tr>
      <w:tr w14:paraId="44B5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5" w:type="dxa"/>
            <w:tcBorders>
              <w:top w:val="outset" w:color="auto" w:sz="6" w:space="0"/>
              <w:left w:val="outset" w:color="auto" w:sz="6" w:space="0"/>
              <w:bottom w:val="outset" w:color="auto" w:sz="6" w:space="0"/>
              <w:right w:val="outset" w:color="auto" w:sz="6" w:space="0"/>
            </w:tcBorders>
          </w:tcPr>
          <w:p w14:paraId="0B7C6CF8">
            <w:pPr>
              <w:spacing w:after="160" w:line="259" w:lineRule="auto"/>
              <w:rPr>
                <w:b/>
                <w:color w:val="auto"/>
              </w:rPr>
            </w:pPr>
            <w:r>
              <w:rPr>
                <w:b/>
                <w:color w:val="auto"/>
              </w:rPr>
              <w:t>Meta</w:t>
            </w:r>
          </w:p>
        </w:tc>
        <w:tc>
          <w:tcPr>
            <w:tcW w:w="6741" w:type="dxa"/>
            <w:tcBorders>
              <w:top w:val="outset" w:color="auto" w:sz="6" w:space="0"/>
              <w:left w:val="outset" w:color="auto" w:sz="6" w:space="0"/>
              <w:bottom w:val="outset" w:color="auto" w:sz="6" w:space="0"/>
              <w:right w:val="outset" w:color="auto" w:sz="6" w:space="0"/>
            </w:tcBorders>
          </w:tcPr>
          <w:p w14:paraId="21591313">
            <w:pPr>
              <w:spacing w:after="160" w:line="259" w:lineRule="auto"/>
              <w:rPr>
                <w:b/>
                <w:color w:val="auto"/>
              </w:rPr>
            </w:pPr>
            <w:r>
              <w:rPr>
                <w:b/>
                <w:color w:val="auto"/>
              </w:rPr>
              <w:t>Texto da meta</w:t>
            </w:r>
          </w:p>
        </w:tc>
      </w:tr>
      <w:tr w14:paraId="3165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5" w:type="dxa"/>
            <w:tcBorders>
              <w:top w:val="nil"/>
              <w:left w:val="outset" w:color="auto" w:sz="6" w:space="0"/>
              <w:bottom w:val="outset" w:color="auto" w:sz="6" w:space="0"/>
              <w:right w:val="outset" w:color="auto" w:sz="6" w:space="0"/>
            </w:tcBorders>
          </w:tcPr>
          <w:p w14:paraId="1F10550A">
            <w:pPr>
              <w:spacing w:after="160" w:line="259" w:lineRule="auto"/>
            </w:pPr>
            <w:r>
              <w:t>14</w:t>
            </w:r>
          </w:p>
          <w:p w14:paraId="12DF46D2">
            <w:pPr>
              <w:spacing w:after="160" w:line="259" w:lineRule="auto"/>
            </w:pPr>
          </w:p>
        </w:tc>
        <w:tc>
          <w:tcPr>
            <w:tcW w:w="6741" w:type="dxa"/>
            <w:tcBorders>
              <w:top w:val="nil"/>
              <w:left w:val="outset" w:color="auto" w:sz="6" w:space="0"/>
              <w:bottom w:val="outset" w:color="auto" w:sz="6" w:space="0"/>
              <w:right w:val="outset" w:color="auto" w:sz="6" w:space="0"/>
            </w:tcBorders>
          </w:tcPr>
          <w:p w14:paraId="19396280">
            <w:pPr>
              <w:spacing w:after="160" w:line="259" w:lineRule="auto"/>
              <w:jc w:val="both"/>
              <w:rPr>
                <w:rFonts w:hint="default"/>
                <w:i/>
                <w:lang w:val="pt-BR"/>
              </w:rPr>
            </w:pPr>
            <w:r>
              <w:rPr>
                <w:rFonts w:hint="default"/>
                <w:bCs/>
                <w:lang w:val="pt-BR"/>
              </w:rPr>
              <w:t>Elevar gradualmente o número d</w:t>
            </w:r>
            <w:r>
              <w:rPr>
                <w:bCs/>
              </w:rPr>
              <w:t>e matrículas na pós-graduação stricto sensu</w:t>
            </w:r>
            <w:r>
              <w:rPr>
                <w:rFonts w:hint="default"/>
                <w:bCs/>
                <w:lang w:val="pt-BR"/>
              </w:rPr>
              <w:t>, de modo a atingir a titulação anual de 60.000 (sessenta mil) mestres e 25.000 (vinte e cinco mil) doutores.</w:t>
            </w:r>
          </w:p>
        </w:tc>
      </w:tr>
      <w:tr w14:paraId="6F12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5" w:type="dxa"/>
            <w:tcBorders>
              <w:top w:val="outset" w:color="auto" w:sz="6" w:space="0"/>
              <w:left w:val="outset" w:color="auto" w:sz="6" w:space="0"/>
              <w:bottom w:val="outset" w:color="auto" w:sz="6" w:space="0"/>
              <w:right w:val="outset" w:color="auto" w:sz="6" w:space="0"/>
            </w:tcBorders>
          </w:tcPr>
          <w:p w14:paraId="40CBD5D3">
            <w:pPr>
              <w:spacing w:after="160" w:line="259" w:lineRule="auto"/>
              <w:rPr>
                <w:rFonts w:hint="default"/>
                <w:lang w:val="pt-BR"/>
              </w:rPr>
            </w:pPr>
            <w:r>
              <w:rPr>
                <w:rFonts w:hint="default"/>
                <w:lang w:val="pt-BR"/>
              </w:rPr>
              <w:t>Indicador 14B Nacional</w:t>
            </w:r>
          </w:p>
        </w:tc>
        <w:tc>
          <w:tcPr>
            <w:tcW w:w="6741" w:type="dxa"/>
            <w:tcBorders>
              <w:top w:val="outset" w:color="auto" w:sz="6" w:space="0"/>
              <w:left w:val="outset" w:color="auto" w:sz="6" w:space="0"/>
              <w:bottom w:val="outset" w:color="auto" w:sz="6" w:space="0"/>
              <w:right w:val="outset" w:color="auto" w:sz="6" w:space="0"/>
            </w:tcBorders>
          </w:tcPr>
          <w:p w14:paraId="0556985F">
            <w:pPr>
              <w:spacing w:after="160" w:line="259" w:lineRule="auto"/>
              <w:jc w:val="both"/>
              <w:rPr>
                <w:rFonts w:hint="default"/>
                <w:lang w:val="pt-BR"/>
              </w:rPr>
            </w:pPr>
            <w:r>
              <w:rPr>
                <w:rFonts w:hint="default"/>
                <w:lang w:val="pt-BR"/>
              </w:rPr>
              <w:t>Número de títulos de doutorado concedidos por ano.</w:t>
            </w:r>
          </w:p>
        </w:tc>
      </w:tr>
      <w:tr w14:paraId="4144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5" w:type="dxa"/>
            <w:tcBorders>
              <w:top w:val="outset" w:color="auto" w:sz="6" w:space="0"/>
              <w:left w:val="outset" w:color="auto" w:sz="6" w:space="0"/>
              <w:bottom w:val="outset" w:color="auto" w:sz="6" w:space="0"/>
              <w:right w:val="outset" w:color="auto" w:sz="6" w:space="0"/>
            </w:tcBorders>
          </w:tcPr>
          <w:p w14:paraId="39F9BAE1">
            <w:pPr>
              <w:spacing w:after="160" w:line="259" w:lineRule="auto"/>
              <w:rPr>
                <w:rFonts w:hint="default"/>
                <w:lang w:val="pt-BR"/>
              </w:rPr>
            </w:pPr>
            <w:r>
              <w:t xml:space="preserve">Indicador </w:t>
            </w:r>
            <w:r>
              <w:rPr>
                <w:rFonts w:hint="default"/>
                <w:lang w:val="pt-BR"/>
              </w:rPr>
              <w:t>14B Proposto</w:t>
            </w:r>
          </w:p>
        </w:tc>
        <w:tc>
          <w:tcPr>
            <w:tcW w:w="6741" w:type="dxa"/>
            <w:tcBorders>
              <w:top w:val="outset" w:color="auto" w:sz="6" w:space="0"/>
              <w:left w:val="outset" w:color="auto" w:sz="6" w:space="0"/>
              <w:bottom w:val="outset" w:color="auto" w:sz="6" w:space="0"/>
              <w:right w:val="outset" w:color="auto" w:sz="6" w:space="0"/>
            </w:tcBorders>
          </w:tcPr>
          <w:p w14:paraId="586602B3">
            <w:pPr>
              <w:spacing w:after="160" w:line="259" w:lineRule="auto"/>
              <w:jc w:val="both"/>
            </w:pPr>
            <w:r>
              <w:t>Nenhum</w:t>
            </w:r>
          </w:p>
        </w:tc>
      </w:tr>
      <w:tr w14:paraId="770B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5" w:type="dxa"/>
            <w:tcBorders>
              <w:top w:val="nil"/>
              <w:left w:val="outset" w:color="auto" w:sz="6" w:space="0"/>
              <w:bottom w:val="outset" w:color="auto" w:sz="6" w:space="0"/>
              <w:right w:val="outset" w:color="auto" w:sz="6" w:space="0"/>
            </w:tcBorders>
          </w:tcPr>
          <w:p w14:paraId="34B56C90">
            <w:pPr>
              <w:spacing w:after="160" w:line="259" w:lineRule="auto"/>
            </w:pPr>
            <w:r>
              <w:t>Fórmula de cálculo</w:t>
            </w:r>
          </w:p>
        </w:tc>
        <w:tc>
          <w:tcPr>
            <w:tcW w:w="6741" w:type="dxa"/>
            <w:tcBorders>
              <w:top w:val="nil"/>
              <w:left w:val="outset" w:color="auto" w:sz="6" w:space="0"/>
              <w:bottom w:val="outset" w:color="auto" w:sz="6" w:space="0"/>
              <w:right w:val="outset" w:color="auto" w:sz="6" w:space="0"/>
            </w:tcBorders>
          </w:tcPr>
          <w:p w14:paraId="6195F835">
            <w:pPr>
              <w:spacing w:after="160" w:line="259" w:lineRule="auto"/>
              <w:jc w:val="both"/>
            </w:pPr>
            <w:r>
              <w:t>Títulos de doutorado concedidos por ano</w:t>
            </w:r>
          </w:p>
        </w:tc>
      </w:tr>
      <w:tr w14:paraId="5D11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95"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1071"/>
            </w:tblGrid>
            <w:tr w14:paraId="41E1C894">
              <w:tc>
                <w:tcPr>
                  <w:tcW w:w="0" w:type="auto"/>
                  <w:tcBorders>
                    <w:top w:val="nil"/>
                    <w:left w:val="nil"/>
                    <w:bottom w:val="nil"/>
                    <w:right w:val="nil"/>
                  </w:tcBorders>
                </w:tcPr>
                <w:p w14:paraId="4F06D4FE">
                  <w:r>
                    <w:t>Justificativa</w:t>
                  </w:r>
                </w:p>
              </w:tc>
            </w:tr>
            <w:tr w14:paraId="5D257048">
              <w:tblPrEx>
                <w:tblCellMar>
                  <w:top w:w="15" w:type="dxa"/>
                  <w:left w:w="15" w:type="dxa"/>
                  <w:bottom w:w="15" w:type="dxa"/>
                  <w:right w:w="15" w:type="dxa"/>
                </w:tblCellMar>
              </w:tblPrEx>
              <w:tc>
                <w:tcPr>
                  <w:tcW w:w="0" w:type="auto"/>
                  <w:tcBorders>
                    <w:top w:val="nil"/>
                    <w:left w:val="nil"/>
                    <w:bottom w:val="nil"/>
                    <w:right w:val="nil"/>
                  </w:tcBorders>
                </w:tcPr>
                <w:p w14:paraId="4F91A9EB"/>
              </w:tc>
            </w:tr>
          </w:tbl>
          <w:p w14:paraId="0F39DC6F">
            <w:pPr>
              <w:spacing w:after="160" w:line="259" w:lineRule="auto"/>
            </w:pPr>
          </w:p>
        </w:tc>
        <w:tc>
          <w:tcPr>
            <w:tcW w:w="6741" w:type="dxa"/>
            <w:tcBorders>
              <w:top w:val="nil"/>
              <w:left w:val="outset" w:color="auto" w:sz="6" w:space="0"/>
              <w:bottom w:val="outset" w:color="auto" w:sz="6" w:space="0"/>
              <w:right w:val="outset" w:color="auto" w:sz="6" w:space="0"/>
            </w:tcBorders>
          </w:tcPr>
          <w:p w14:paraId="53D7DB96">
            <w:pPr>
              <w:spacing w:after="160" w:line="259" w:lineRule="auto"/>
              <w:jc w:val="both"/>
            </w:pPr>
            <w:r>
              <w:t>Não se aplica a municípios. O limitador para o indicador, é que a Coordenação de Aperfeiçoamento de Pessoal de Nível Superior (CAPES) divulga o dado apenas para o estado, ressaltando-se que esse dado se refere ao estado onde foi concedido o título. O dado não é disponível para municípios.</w:t>
            </w:r>
          </w:p>
        </w:tc>
      </w:tr>
    </w:tbl>
    <w:p w14:paraId="3A9BA85A">
      <w:r>
        <w:t xml:space="preserve"> </w:t>
      </w:r>
    </w:p>
    <w:p w14:paraId="4AF79406">
      <w:r>
        <w:t>Conforme apresentado no quadro acima, a meta não se aplica à município.</w:t>
      </w:r>
    </w:p>
    <w:p w14:paraId="02E42B82">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6"/>
        <w:gridCol w:w="24"/>
        <w:gridCol w:w="8416"/>
      </w:tblGrid>
      <w:tr w14:paraId="15B4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174AAD26">
            <w:pPr>
              <w:jc w:val="center"/>
              <w:rPr>
                <w:rFonts w:hint="default"/>
                <w:b/>
                <w:bCs/>
                <w:vertAlign w:val="baseline"/>
                <w:lang w:val="pt-BR"/>
              </w:rPr>
            </w:pPr>
            <w:r>
              <w:rPr>
                <w:rFonts w:hint="default"/>
                <w:b/>
                <w:bCs/>
                <w:vertAlign w:val="baseline"/>
                <w:lang w:val="pt-BR"/>
              </w:rPr>
              <w:t>Ficha metodológica para o indicador 15A - base PNE</w:t>
            </w:r>
          </w:p>
        </w:tc>
      </w:tr>
      <w:tr w14:paraId="52BC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596" w:type="dxa"/>
            <w:tcBorders>
              <w:top w:val="outset" w:color="auto" w:sz="6" w:space="0"/>
              <w:left w:val="outset" w:color="auto" w:sz="6" w:space="0"/>
              <w:bottom w:val="outset" w:color="auto" w:sz="6" w:space="0"/>
              <w:right w:val="outset" w:color="auto" w:sz="6" w:space="0"/>
            </w:tcBorders>
          </w:tcPr>
          <w:p w14:paraId="4B931A90">
            <w:pPr>
              <w:spacing w:after="160" w:line="259" w:lineRule="auto"/>
              <w:rPr>
                <w:b/>
              </w:rPr>
            </w:pPr>
            <w:r>
              <w:rPr>
                <w:b/>
              </w:rPr>
              <w:t>Meta</w:t>
            </w:r>
          </w:p>
        </w:tc>
        <w:tc>
          <w:tcPr>
            <w:tcW w:w="8440" w:type="dxa"/>
            <w:gridSpan w:val="2"/>
            <w:tcBorders>
              <w:top w:val="outset" w:color="auto" w:sz="6" w:space="0"/>
              <w:left w:val="outset" w:color="auto" w:sz="6" w:space="0"/>
              <w:bottom w:val="outset" w:color="auto" w:sz="6" w:space="0"/>
              <w:right w:val="outset" w:color="auto" w:sz="6" w:space="0"/>
            </w:tcBorders>
          </w:tcPr>
          <w:p w14:paraId="36997DB3">
            <w:pPr>
              <w:spacing w:after="160" w:line="259" w:lineRule="auto"/>
              <w:rPr>
                <w:b/>
              </w:rPr>
            </w:pPr>
            <w:r>
              <w:rPr>
                <w:b/>
              </w:rPr>
              <w:t>Texto da meta</w:t>
            </w:r>
          </w:p>
        </w:tc>
      </w:tr>
      <w:tr w14:paraId="6A1C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596" w:type="dxa"/>
            <w:tcBorders>
              <w:top w:val="nil"/>
              <w:left w:val="outset" w:color="auto" w:sz="6" w:space="0"/>
              <w:bottom w:val="outset" w:color="auto" w:sz="6" w:space="0"/>
              <w:right w:val="outset" w:color="auto" w:sz="6" w:space="0"/>
            </w:tcBorders>
          </w:tcPr>
          <w:p w14:paraId="07E5C001">
            <w:pPr>
              <w:spacing w:after="160" w:line="259" w:lineRule="auto"/>
            </w:pPr>
            <w:r>
              <w:t>15</w:t>
            </w:r>
          </w:p>
          <w:p w14:paraId="4619AEF6">
            <w:pPr>
              <w:spacing w:after="160" w:line="259" w:lineRule="auto"/>
            </w:pPr>
          </w:p>
          <w:p w14:paraId="3184DCC0">
            <w:pPr>
              <w:spacing w:after="160" w:line="259" w:lineRule="auto"/>
            </w:pPr>
          </w:p>
          <w:p w14:paraId="6A9A3E1E">
            <w:pPr>
              <w:spacing w:after="160" w:line="259" w:lineRule="auto"/>
            </w:pPr>
          </w:p>
        </w:tc>
        <w:tc>
          <w:tcPr>
            <w:tcW w:w="8440" w:type="dxa"/>
            <w:gridSpan w:val="2"/>
            <w:tcBorders>
              <w:top w:val="nil"/>
              <w:left w:val="outset" w:color="auto" w:sz="6" w:space="0"/>
              <w:bottom w:val="outset" w:color="auto" w:sz="6" w:space="0"/>
              <w:right w:val="outset" w:color="auto" w:sz="6" w:space="0"/>
            </w:tcBorders>
          </w:tcPr>
          <w:p w14:paraId="2E51E996">
            <w:pPr>
              <w:spacing w:after="160" w:line="259" w:lineRule="auto"/>
              <w:jc w:val="both"/>
              <w:rPr>
                <w:i/>
              </w:rPr>
            </w:pPr>
            <w:r>
              <w:rPr>
                <w:bCs/>
              </w:rPr>
              <w:t>Garantir, em regime de colaboração entre a União, o Estado e o Município, no prazo de 1 (um) ano de vigência deste PME, política municipal de formação dos profissionais da educação de que tratam os incisos I, II e III do caput do art. 61 da Lei no 9.394, de 20 de dezembro de 1996, assegurado que todos os professores e as professoras da educação básica possuam formação específica de nível superior, obtida em curso de licenciatura na área de conhecimento em que atuam.</w:t>
            </w:r>
          </w:p>
        </w:tc>
      </w:tr>
      <w:tr w14:paraId="028F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620" w:type="dxa"/>
            <w:gridSpan w:val="2"/>
            <w:tcBorders>
              <w:top w:val="outset" w:color="auto" w:sz="6" w:space="0"/>
              <w:left w:val="outset" w:color="auto" w:sz="6" w:space="0"/>
              <w:bottom w:val="outset" w:color="auto" w:sz="6" w:space="0"/>
              <w:right w:val="outset" w:color="auto" w:sz="6" w:space="0"/>
            </w:tcBorders>
          </w:tcPr>
          <w:p w14:paraId="0CA57020">
            <w:pPr>
              <w:spacing w:after="160" w:line="259" w:lineRule="auto"/>
              <w:rPr>
                <w:rFonts w:hint="default"/>
                <w:lang w:val="pt-BR"/>
              </w:rPr>
            </w:pPr>
            <w:r>
              <w:t>Indicador 1</w:t>
            </w:r>
            <w:r>
              <w:rPr>
                <w:rFonts w:hint="default"/>
                <w:lang w:val="pt-BR"/>
              </w:rPr>
              <w:t>5A Nacional</w:t>
            </w:r>
          </w:p>
        </w:tc>
        <w:tc>
          <w:tcPr>
            <w:tcW w:w="8416" w:type="dxa"/>
            <w:tcBorders>
              <w:top w:val="outset" w:color="auto" w:sz="6" w:space="0"/>
              <w:left w:val="outset" w:color="auto" w:sz="6" w:space="0"/>
              <w:bottom w:val="outset" w:color="auto" w:sz="6" w:space="0"/>
              <w:right w:val="outset" w:color="auto" w:sz="6" w:space="0"/>
            </w:tcBorders>
          </w:tcPr>
          <w:p w14:paraId="5ED891D0">
            <w:pPr>
              <w:spacing w:after="160" w:line="259" w:lineRule="auto"/>
              <w:rPr>
                <w:rFonts w:hint="default"/>
                <w:lang w:val="pt-BR"/>
              </w:rPr>
            </w:pPr>
            <w:r>
              <w:t>Proporção de docências da educação infantil com professores cuja formação superior está adequada à área de conhecimento que lecionam</w:t>
            </w:r>
            <w:r>
              <w:rPr>
                <w:rFonts w:hint="default"/>
                <w:lang w:val="pt-BR"/>
              </w:rPr>
              <w:t>.</w:t>
            </w:r>
          </w:p>
        </w:tc>
      </w:tr>
      <w:tr w14:paraId="50E8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620" w:type="dxa"/>
            <w:gridSpan w:val="2"/>
            <w:tcBorders>
              <w:top w:val="outset" w:color="auto" w:sz="6" w:space="0"/>
              <w:left w:val="outset" w:color="auto" w:sz="6" w:space="0"/>
              <w:bottom w:val="outset" w:color="auto" w:sz="6" w:space="0"/>
              <w:right w:val="outset" w:color="auto" w:sz="6" w:space="0"/>
            </w:tcBorders>
          </w:tcPr>
          <w:p w14:paraId="11550430">
            <w:pPr>
              <w:spacing w:after="160" w:line="259" w:lineRule="auto"/>
              <w:rPr>
                <w:rFonts w:hint="default"/>
                <w:lang w:val="pt-BR"/>
              </w:rPr>
            </w:pPr>
            <w:r>
              <w:rPr>
                <w:rFonts w:hint="default"/>
                <w:lang w:val="pt-BR"/>
              </w:rPr>
              <w:t>Indicador 15A Proposto</w:t>
            </w:r>
          </w:p>
        </w:tc>
        <w:tc>
          <w:tcPr>
            <w:tcW w:w="8416" w:type="dxa"/>
            <w:tcBorders>
              <w:top w:val="outset" w:color="auto" w:sz="6" w:space="0"/>
              <w:left w:val="outset" w:color="auto" w:sz="6" w:space="0"/>
              <w:bottom w:val="outset" w:color="auto" w:sz="6" w:space="0"/>
              <w:right w:val="outset" w:color="auto" w:sz="6" w:space="0"/>
            </w:tcBorders>
          </w:tcPr>
          <w:p w14:paraId="3A70F4D3">
            <w:pPr>
              <w:spacing w:after="160" w:line="259" w:lineRule="auto"/>
              <w:rPr>
                <w:rFonts w:hint="default"/>
                <w:lang w:val="pt-BR"/>
              </w:rPr>
            </w:pPr>
            <w:r>
              <w:rPr>
                <w:rFonts w:hint="default"/>
                <w:lang w:val="pt-BR"/>
              </w:rPr>
              <w:t>Replicar o nacional</w:t>
            </w:r>
          </w:p>
        </w:tc>
      </w:tr>
      <w:tr w14:paraId="2F44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620" w:type="dxa"/>
            <w:gridSpan w:val="2"/>
            <w:tcBorders>
              <w:top w:val="nil"/>
              <w:left w:val="outset" w:color="auto" w:sz="6" w:space="0"/>
              <w:bottom w:val="outset" w:color="auto" w:sz="6" w:space="0"/>
              <w:right w:val="outset" w:color="auto" w:sz="6" w:space="0"/>
            </w:tcBorders>
          </w:tcPr>
          <w:p w14:paraId="1DE0834C">
            <w:pPr>
              <w:spacing w:after="160" w:line="259" w:lineRule="auto"/>
            </w:pPr>
            <w:r>
              <w:t>Fórmula de cálculo</w:t>
            </w:r>
          </w:p>
        </w:tc>
        <w:tc>
          <w:tcPr>
            <w:tcW w:w="8416" w:type="dxa"/>
            <w:tcBorders>
              <w:top w:val="nil"/>
              <w:left w:val="outset" w:color="auto" w:sz="6" w:space="0"/>
              <w:bottom w:val="outset" w:color="auto" w:sz="6" w:space="0"/>
              <w:right w:val="outset" w:color="auto" w:sz="6" w:space="0"/>
            </w:tcBorders>
          </w:tcPr>
          <w:p w14:paraId="778EAD8C">
            <w:pPr>
              <w:spacing w:after="160" w:line="259" w:lineRule="auto"/>
              <w:jc w:val="both"/>
            </w:pPr>
            <w:r>
              <w:t>(Quantidade de docências da educação infantil com professores cuja formação superior está adequada à área de conhecimento que lecionam / Quantidade total de docências da educação infantil) x 100</w:t>
            </w:r>
          </w:p>
        </w:tc>
      </w:tr>
      <w:tr w14:paraId="2A84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620" w:type="dxa"/>
            <w:gridSpan w:val="2"/>
            <w:tcBorders>
              <w:top w:val="nil"/>
              <w:left w:val="outset" w:color="auto" w:sz="6" w:space="0"/>
              <w:bottom w:val="outset" w:color="auto" w:sz="6" w:space="0"/>
              <w:right w:val="outset" w:color="auto" w:sz="6" w:space="0"/>
            </w:tcBorders>
          </w:tcPr>
          <w:p w14:paraId="7DE1CE29">
            <w:pPr>
              <w:spacing w:after="160" w:line="259" w:lineRule="auto"/>
            </w:pPr>
            <w:r>
              <w:t>Comentário</w:t>
            </w:r>
          </w:p>
        </w:tc>
        <w:tc>
          <w:tcPr>
            <w:tcW w:w="8416"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8350"/>
              <w:gridCol w:w="36"/>
            </w:tblGrid>
            <w:tr w14:paraId="26660078">
              <w:tc>
                <w:tcPr>
                  <w:tcW w:w="0" w:type="auto"/>
                  <w:tcBorders>
                    <w:top w:val="nil"/>
                    <w:left w:val="nil"/>
                    <w:bottom w:val="nil"/>
                    <w:right w:val="nil"/>
                  </w:tcBorders>
                </w:tcPr>
                <w:p w14:paraId="24DBD0A4">
                  <w:pPr>
                    <w:jc w:val="both"/>
                  </w:pPr>
                  <w:r>
                    <w:t>Calculado conforme Relatório do 3º Ciclo de Monitoramento das Metas do Plano Nacional de Educação - 2020 (INEP).</w:t>
                  </w:r>
                </w:p>
              </w:tc>
              <w:tc>
                <w:tcPr>
                  <w:tcW w:w="0" w:type="auto"/>
                  <w:tcBorders>
                    <w:top w:val="nil"/>
                    <w:left w:val="nil"/>
                    <w:bottom w:val="nil"/>
                    <w:right w:val="nil"/>
                  </w:tcBorders>
                </w:tcPr>
                <w:p w14:paraId="6E9B7F72"/>
              </w:tc>
            </w:tr>
          </w:tbl>
          <w:p w14:paraId="3317B9A5">
            <w:pPr>
              <w:spacing w:after="160" w:line="259" w:lineRule="auto"/>
            </w:pPr>
          </w:p>
        </w:tc>
      </w:tr>
    </w:tbl>
    <w:p w14:paraId="5414246D">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3"/>
        <w:gridCol w:w="1582"/>
        <w:gridCol w:w="1200"/>
        <w:gridCol w:w="941"/>
        <w:gridCol w:w="804"/>
        <w:gridCol w:w="900"/>
        <w:gridCol w:w="955"/>
        <w:gridCol w:w="886"/>
        <w:gridCol w:w="832"/>
        <w:gridCol w:w="900"/>
        <w:gridCol w:w="986"/>
      </w:tblGrid>
      <w:tr w14:paraId="47DD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3" w:type="dxa"/>
            <w:gridSpan w:val="10"/>
          </w:tcPr>
          <w:p w14:paraId="6BF96F11">
            <w:pPr>
              <w:jc w:val="center"/>
              <w:rPr>
                <w:rFonts w:hint="default"/>
                <w:b/>
                <w:bCs/>
                <w:vertAlign w:val="baseline"/>
                <w:lang w:val="pt-BR"/>
              </w:rPr>
            </w:pPr>
            <w:r>
              <w:rPr>
                <w:rFonts w:hint="default"/>
                <w:b/>
                <w:bCs/>
                <w:vertAlign w:val="baseline"/>
                <w:lang w:val="pt-BR"/>
              </w:rPr>
              <w:t>Dados/Indicadores: Indicador 15A</w:t>
            </w:r>
          </w:p>
        </w:tc>
        <w:tc>
          <w:tcPr>
            <w:tcW w:w="986" w:type="dxa"/>
          </w:tcPr>
          <w:p w14:paraId="24B60E2F">
            <w:pPr>
              <w:jc w:val="center"/>
              <w:rPr>
                <w:rFonts w:hint="default"/>
                <w:b/>
                <w:bCs/>
                <w:vertAlign w:val="baseline"/>
                <w:lang w:val="pt-BR"/>
              </w:rPr>
            </w:pPr>
          </w:p>
        </w:tc>
      </w:tr>
      <w:tr w14:paraId="2627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143" w:type="dxa"/>
            <w:tcBorders>
              <w:top w:val="outset" w:color="auto" w:sz="6" w:space="0"/>
              <w:left w:val="outset" w:color="auto" w:sz="6" w:space="0"/>
              <w:bottom w:val="outset" w:color="auto" w:sz="6" w:space="0"/>
              <w:right w:val="outset" w:color="auto" w:sz="6" w:space="0"/>
            </w:tcBorders>
          </w:tcPr>
          <w:p w14:paraId="5749B308">
            <w:pPr>
              <w:spacing w:after="160" w:line="259" w:lineRule="auto"/>
              <w:rPr>
                <w:rFonts w:hint="default"/>
                <w:lang w:val="pt-BR"/>
              </w:rPr>
            </w:pPr>
            <w:r>
              <w:rPr>
                <w:rFonts w:hint="default"/>
                <w:lang w:val="pt-BR"/>
              </w:rPr>
              <w:t xml:space="preserve">Ano </w:t>
            </w:r>
          </w:p>
        </w:tc>
        <w:tc>
          <w:tcPr>
            <w:tcW w:w="1582" w:type="dxa"/>
            <w:tcBorders>
              <w:top w:val="outset" w:color="auto" w:sz="6" w:space="0"/>
              <w:left w:val="outset" w:color="auto" w:sz="6" w:space="0"/>
              <w:bottom w:val="outset" w:color="auto" w:sz="6" w:space="0"/>
              <w:right w:val="outset" w:color="auto" w:sz="6" w:space="0"/>
            </w:tcBorders>
          </w:tcPr>
          <w:p w14:paraId="63B39713">
            <w:pPr>
              <w:spacing w:after="160" w:line="259" w:lineRule="auto"/>
            </w:pPr>
            <w:r>
              <w:t>2014</w:t>
            </w:r>
          </w:p>
        </w:tc>
        <w:tc>
          <w:tcPr>
            <w:tcW w:w="1200" w:type="dxa"/>
            <w:tcBorders>
              <w:top w:val="outset" w:color="auto" w:sz="6" w:space="0"/>
              <w:left w:val="outset" w:color="auto" w:sz="6" w:space="0"/>
              <w:bottom w:val="outset" w:color="auto" w:sz="6" w:space="0"/>
              <w:right w:val="outset" w:color="auto" w:sz="6" w:space="0"/>
            </w:tcBorders>
          </w:tcPr>
          <w:p w14:paraId="5A623697">
            <w:pPr>
              <w:spacing w:after="160" w:line="259" w:lineRule="auto"/>
            </w:pPr>
            <w:r>
              <w:t>2015</w:t>
            </w:r>
          </w:p>
        </w:tc>
        <w:tc>
          <w:tcPr>
            <w:tcW w:w="941" w:type="dxa"/>
            <w:tcBorders>
              <w:top w:val="outset" w:color="auto" w:sz="6" w:space="0"/>
              <w:left w:val="outset" w:color="auto" w:sz="6" w:space="0"/>
              <w:bottom w:val="outset" w:color="auto" w:sz="6" w:space="0"/>
              <w:right w:val="outset" w:color="auto" w:sz="6" w:space="0"/>
            </w:tcBorders>
          </w:tcPr>
          <w:p w14:paraId="2A2307DF">
            <w:pPr>
              <w:spacing w:after="160" w:line="259" w:lineRule="auto"/>
            </w:pPr>
            <w:r>
              <w:t>2016</w:t>
            </w:r>
          </w:p>
        </w:tc>
        <w:tc>
          <w:tcPr>
            <w:tcW w:w="804" w:type="dxa"/>
            <w:tcBorders>
              <w:top w:val="outset" w:color="auto" w:sz="6" w:space="0"/>
              <w:left w:val="outset" w:color="auto" w:sz="6" w:space="0"/>
              <w:bottom w:val="outset" w:color="auto" w:sz="6" w:space="0"/>
              <w:right w:val="outset" w:color="auto" w:sz="6" w:space="0"/>
            </w:tcBorders>
          </w:tcPr>
          <w:p w14:paraId="454320AE">
            <w:pPr>
              <w:spacing w:after="160" w:line="259" w:lineRule="auto"/>
            </w:pPr>
            <w:r>
              <w:t>2017</w:t>
            </w:r>
          </w:p>
        </w:tc>
        <w:tc>
          <w:tcPr>
            <w:tcW w:w="900" w:type="dxa"/>
            <w:tcBorders>
              <w:top w:val="outset" w:color="auto" w:sz="6" w:space="0"/>
              <w:left w:val="outset" w:color="auto" w:sz="6" w:space="0"/>
              <w:bottom w:val="outset" w:color="auto" w:sz="6" w:space="0"/>
              <w:right w:val="outset" w:color="auto" w:sz="6" w:space="0"/>
            </w:tcBorders>
          </w:tcPr>
          <w:p w14:paraId="75122F17">
            <w:pPr>
              <w:spacing w:after="160" w:line="259" w:lineRule="auto"/>
            </w:pPr>
            <w:r>
              <w:t>2018</w:t>
            </w:r>
          </w:p>
        </w:tc>
        <w:tc>
          <w:tcPr>
            <w:tcW w:w="955" w:type="dxa"/>
            <w:tcBorders>
              <w:top w:val="outset" w:color="auto" w:sz="6" w:space="0"/>
              <w:left w:val="outset" w:color="auto" w:sz="6" w:space="0"/>
              <w:bottom w:val="outset" w:color="auto" w:sz="6" w:space="0"/>
              <w:right w:val="outset" w:color="auto" w:sz="6" w:space="0"/>
            </w:tcBorders>
          </w:tcPr>
          <w:p w14:paraId="6D95FB55">
            <w:pPr>
              <w:spacing w:after="160" w:line="259" w:lineRule="auto"/>
            </w:pPr>
            <w:r>
              <w:t>2019</w:t>
            </w:r>
          </w:p>
        </w:tc>
        <w:tc>
          <w:tcPr>
            <w:tcW w:w="886" w:type="dxa"/>
            <w:tcBorders>
              <w:top w:val="outset" w:color="auto" w:sz="6" w:space="0"/>
              <w:left w:val="outset" w:color="auto" w:sz="6" w:space="0"/>
              <w:bottom w:val="outset" w:color="auto" w:sz="6" w:space="0"/>
              <w:right w:val="outset" w:color="auto" w:sz="6" w:space="0"/>
            </w:tcBorders>
          </w:tcPr>
          <w:p w14:paraId="0FEF0094">
            <w:pPr>
              <w:spacing w:after="160" w:line="259" w:lineRule="auto"/>
            </w:pPr>
            <w:r>
              <w:t>2020</w:t>
            </w:r>
          </w:p>
        </w:tc>
        <w:tc>
          <w:tcPr>
            <w:tcW w:w="832" w:type="dxa"/>
            <w:tcBorders>
              <w:top w:val="outset" w:color="auto" w:sz="6" w:space="0"/>
              <w:left w:val="outset" w:color="auto" w:sz="6" w:space="0"/>
              <w:bottom w:val="outset" w:color="auto" w:sz="6" w:space="0"/>
              <w:right w:val="outset" w:color="auto" w:sz="6" w:space="0"/>
            </w:tcBorders>
          </w:tcPr>
          <w:p w14:paraId="529C92ED">
            <w:pPr>
              <w:spacing w:after="160" w:line="259" w:lineRule="auto"/>
            </w:pPr>
            <w:r>
              <w:t>2021</w:t>
            </w:r>
          </w:p>
        </w:tc>
        <w:tc>
          <w:tcPr>
            <w:tcW w:w="900" w:type="dxa"/>
            <w:tcBorders>
              <w:top w:val="outset" w:color="auto" w:sz="6" w:space="0"/>
              <w:left w:val="outset" w:color="auto" w:sz="6" w:space="0"/>
              <w:bottom w:val="outset" w:color="auto" w:sz="6" w:space="0"/>
              <w:right w:val="outset" w:color="auto" w:sz="6" w:space="0"/>
            </w:tcBorders>
          </w:tcPr>
          <w:p w14:paraId="56DAD5AD">
            <w:pPr>
              <w:spacing w:after="160" w:line="259" w:lineRule="auto"/>
            </w:pPr>
            <w:r>
              <w:t>2022</w:t>
            </w:r>
          </w:p>
        </w:tc>
        <w:tc>
          <w:tcPr>
            <w:tcW w:w="986" w:type="dxa"/>
            <w:tcBorders>
              <w:top w:val="outset" w:color="auto" w:sz="6" w:space="0"/>
              <w:left w:val="outset" w:color="auto" w:sz="6" w:space="0"/>
              <w:bottom w:val="outset" w:color="auto" w:sz="6" w:space="0"/>
              <w:right w:val="outset" w:color="auto" w:sz="6" w:space="0"/>
            </w:tcBorders>
          </w:tcPr>
          <w:p w14:paraId="47727F97">
            <w:pPr>
              <w:spacing w:after="160" w:line="259" w:lineRule="auto"/>
              <w:rPr>
                <w:rFonts w:hint="default"/>
                <w:lang w:val="pt-BR"/>
              </w:rPr>
            </w:pPr>
            <w:r>
              <w:rPr>
                <w:rFonts w:hint="default"/>
                <w:lang w:val="pt-BR"/>
              </w:rPr>
              <w:t>2023</w:t>
            </w:r>
          </w:p>
        </w:tc>
      </w:tr>
      <w:tr w14:paraId="0661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143" w:type="dxa"/>
            <w:tcBorders>
              <w:top w:val="nil"/>
              <w:left w:val="outset" w:color="auto" w:sz="6" w:space="0"/>
              <w:bottom w:val="outset" w:color="auto" w:sz="6" w:space="0"/>
              <w:right w:val="outset" w:color="auto" w:sz="6" w:space="0"/>
            </w:tcBorders>
          </w:tcPr>
          <w:p w14:paraId="007B25CB">
            <w:pPr>
              <w:spacing w:after="160" w:line="259" w:lineRule="auto"/>
            </w:pPr>
            <w:r>
              <w:t xml:space="preserve">Indicador </w:t>
            </w:r>
          </w:p>
        </w:tc>
        <w:tc>
          <w:tcPr>
            <w:tcW w:w="1582" w:type="dxa"/>
            <w:tcBorders>
              <w:top w:val="nil"/>
              <w:left w:val="outset" w:color="auto" w:sz="6" w:space="0"/>
              <w:bottom w:val="outset" w:color="auto" w:sz="6" w:space="0"/>
              <w:right w:val="outset" w:color="auto" w:sz="6" w:space="0"/>
            </w:tcBorders>
          </w:tcPr>
          <w:p w14:paraId="58996FAE">
            <w:pPr>
              <w:spacing w:after="160" w:line="259" w:lineRule="auto"/>
            </w:pPr>
            <w:r>
              <w:t>84,6%</w:t>
            </w:r>
          </w:p>
        </w:tc>
        <w:tc>
          <w:tcPr>
            <w:tcW w:w="1200" w:type="dxa"/>
            <w:tcBorders>
              <w:top w:val="nil"/>
              <w:left w:val="outset" w:color="auto" w:sz="6" w:space="0"/>
              <w:bottom w:val="outset" w:color="auto" w:sz="6" w:space="0"/>
              <w:right w:val="outset" w:color="auto" w:sz="6" w:space="0"/>
            </w:tcBorders>
          </w:tcPr>
          <w:p w14:paraId="07BA7B4A">
            <w:pPr>
              <w:spacing w:after="160" w:line="259" w:lineRule="auto"/>
            </w:pPr>
            <w:r>
              <w:t>63,6%</w:t>
            </w:r>
          </w:p>
        </w:tc>
        <w:tc>
          <w:tcPr>
            <w:tcW w:w="941" w:type="dxa"/>
            <w:tcBorders>
              <w:top w:val="nil"/>
              <w:left w:val="outset" w:color="auto" w:sz="6" w:space="0"/>
              <w:bottom w:val="outset" w:color="auto" w:sz="6" w:space="0"/>
              <w:right w:val="outset" w:color="auto" w:sz="6" w:space="0"/>
            </w:tcBorders>
          </w:tcPr>
          <w:p w14:paraId="7DBCD44A">
            <w:pPr>
              <w:spacing w:after="160" w:line="259" w:lineRule="auto"/>
            </w:pPr>
            <w:r>
              <w:t>73,3%</w:t>
            </w:r>
          </w:p>
        </w:tc>
        <w:tc>
          <w:tcPr>
            <w:tcW w:w="804" w:type="dxa"/>
            <w:tcBorders>
              <w:top w:val="nil"/>
              <w:left w:val="outset" w:color="auto" w:sz="6" w:space="0"/>
              <w:bottom w:val="outset" w:color="auto" w:sz="6" w:space="0"/>
              <w:right w:val="outset" w:color="auto" w:sz="6" w:space="0"/>
            </w:tcBorders>
          </w:tcPr>
          <w:p w14:paraId="2918D3D2">
            <w:pPr>
              <w:spacing w:after="160" w:line="259" w:lineRule="auto"/>
            </w:pPr>
            <w:r>
              <w:t>52,9%</w:t>
            </w:r>
          </w:p>
        </w:tc>
        <w:tc>
          <w:tcPr>
            <w:tcW w:w="900" w:type="dxa"/>
            <w:tcBorders>
              <w:top w:val="nil"/>
              <w:left w:val="outset" w:color="auto" w:sz="6" w:space="0"/>
              <w:bottom w:val="outset" w:color="auto" w:sz="6" w:space="0"/>
              <w:right w:val="outset" w:color="auto" w:sz="6" w:space="0"/>
            </w:tcBorders>
          </w:tcPr>
          <w:p w14:paraId="6332BDBD">
            <w:pPr>
              <w:spacing w:after="160" w:line="259" w:lineRule="auto"/>
            </w:pPr>
            <w:r>
              <w:t>58,8%</w:t>
            </w:r>
          </w:p>
        </w:tc>
        <w:tc>
          <w:tcPr>
            <w:tcW w:w="955" w:type="dxa"/>
            <w:tcBorders>
              <w:top w:val="nil"/>
              <w:left w:val="outset" w:color="auto" w:sz="6" w:space="0"/>
              <w:bottom w:val="outset" w:color="auto" w:sz="6" w:space="0"/>
              <w:right w:val="outset" w:color="auto" w:sz="6" w:space="0"/>
            </w:tcBorders>
          </w:tcPr>
          <w:p w14:paraId="3A68C9B1">
            <w:pPr>
              <w:spacing w:after="160" w:line="259" w:lineRule="auto"/>
            </w:pPr>
            <w:r>
              <w:t xml:space="preserve">66,7% </w:t>
            </w:r>
          </w:p>
        </w:tc>
        <w:tc>
          <w:tcPr>
            <w:tcW w:w="886" w:type="dxa"/>
            <w:tcBorders>
              <w:top w:val="nil"/>
              <w:left w:val="outset" w:color="auto" w:sz="6" w:space="0"/>
              <w:bottom w:val="outset" w:color="auto" w:sz="6" w:space="0"/>
              <w:right w:val="outset" w:color="auto" w:sz="6" w:space="0"/>
            </w:tcBorders>
          </w:tcPr>
          <w:p w14:paraId="2EE7FA83">
            <w:pPr>
              <w:spacing w:after="160" w:line="259" w:lineRule="auto"/>
            </w:pPr>
            <w:r>
              <w:t>73,3%</w:t>
            </w:r>
          </w:p>
        </w:tc>
        <w:tc>
          <w:tcPr>
            <w:tcW w:w="832" w:type="dxa"/>
            <w:tcBorders>
              <w:top w:val="nil"/>
              <w:left w:val="outset" w:color="auto" w:sz="6" w:space="0"/>
              <w:bottom w:val="outset" w:color="auto" w:sz="6" w:space="0"/>
              <w:right w:val="outset" w:color="auto" w:sz="6" w:space="0"/>
            </w:tcBorders>
          </w:tcPr>
          <w:p w14:paraId="1DBB37F0">
            <w:pPr>
              <w:spacing w:after="160" w:line="259" w:lineRule="auto"/>
            </w:pPr>
            <w:r>
              <w:t>74,4%</w:t>
            </w:r>
          </w:p>
        </w:tc>
        <w:tc>
          <w:tcPr>
            <w:tcW w:w="900" w:type="dxa"/>
            <w:tcBorders>
              <w:top w:val="nil"/>
              <w:left w:val="outset" w:color="auto" w:sz="6" w:space="0"/>
              <w:bottom w:val="outset" w:color="auto" w:sz="6" w:space="0"/>
              <w:right w:val="outset" w:color="auto" w:sz="6" w:space="0"/>
            </w:tcBorders>
          </w:tcPr>
          <w:p w14:paraId="66B099DF">
            <w:pPr>
              <w:spacing w:after="160" w:line="259" w:lineRule="auto"/>
            </w:pPr>
            <w:r>
              <w:t>73,2%</w:t>
            </w:r>
          </w:p>
        </w:tc>
        <w:tc>
          <w:tcPr>
            <w:tcW w:w="986" w:type="dxa"/>
            <w:tcBorders>
              <w:top w:val="nil"/>
              <w:left w:val="outset" w:color="auto" w:sz="6" w:space="0"/>
              <w:bottom w:val="outset" w:color="auto" w:sz="6" w:space="0"/>
              <w:right w:val="outset" w:color="auto" w:sz="6" w:space="0"/>
            </w:tcBorders>
          </w:tcPr>
          <w:p w14:paraId="24ACCD17">
            <w:pPr>
              <w:spacing w:after="160" w:line="259" w:lineRule="auto"/>
              <w:rPr>
                <w:rFonts w:hint="default"/>
                <w:lang w:val="pt-BR"/>
              </w:rPr>
            </w:pPr>
            <w:r>
              <w:rPr>
                <w:rFonts w:hint="default"/>
                <w:lang w:val="pt-BR"/>
              </w:rPr>
              <w:t>71,9%</w:t>
            </w:r>
          </w:p>
        </w:tc>
      </w:tr>
      <w:tr w14:paraId="489E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9" w:type="dxa"/>
            <w:gridSpan w:val="11"/>
          </w:tcPr>
          <w:p w14:paraId="4A8FF6CD">
            <w:pPr>
              <w:jc w:val="center"/>
              <w:rPr>
                <w:rFonts w:hint="default"/>
                <w:vertAlign w:val="baseline"/>
                <w:lang w:val="pt-BR"/>
              </w:rPr>
            </w:pPr>
            <w:r>
              <w:rPr>
                <w:rFonts w:hint="default"/>
                <w:vertAlign w:val="baseline"/>
                <w:lang w:val="pt-BR"/>
              </w:rPr>
              <w:t>Fonte: INEP - Censo Escolar da Educação Básica</w:t>
            </w:r>
          </w:p>
        </w:tc>
      </w:tr>
    </w:tbl>
    <w:p w14:paraId="7834A93E"/>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7"/>
        <w:gridCol w:w="8219"/>
      </w:tblGrid>
      <w:tr w14:paraId="4B78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70D66E07">
            <w:pPr>
              <w:jc w:val="center"/>
              <w:rPr>
                <w:rFonts w:hint="default"/>
                <w:b/>
                <w:bCs/>
                <w:vertAlign w:val="baseline"/>
                <w:lang w:val="pt-BR"/>
              </w:rPr>
            </w:pPr>
            <w:r>
              <w:rPr>
                <w:rFonts w:hint="default"/>
                <w:b/>
                <w:bCs/>
                <w:vertAlign w:val="baseline"/>
                <w:lang w:val="pt-BR"/>
              </w:rPr>
              <w:t>Ficha metodológica para o indicador 15B - base PNE</w:t>
            </w:r>
          </w:p>
        </w:tc>
      </w:tr>
      <w:tr w14:paraId="427F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outset" w:color="auto" w:sz="6" w:space="0"/>
              <w:left w:val="outset" w:color="auto" w:sz="6" w:space="0"/>
              <w:bottom w:val="outset" w:color="auto" w:sz="6" w:space="0"/>
              <w:right w:val="outset" w:color="auto" w:sz="6" w:space="0"/>
            </w:tcBorders>
          </w:tcPr>
          <w:p w14:paraId="3502B685">
            <w:pPr>
              <w:spacing w:after="160" w:line="259" w:lineRule="auto"/>
              <w:rPr>
                <w:b/>
              </w:rPr>
            </w:pPr>
            <w:r>
              <w:rPr>
                <w:b/>
              </w:rPr>
              <w:t>Meta</w:t>
            </w:r>
          </w:p>
        </w:tc>
        <w:tc>
          <w:tcPr>
            <w:tcW w:w="8219" w:type="dxa"/>
            <w:tcBorders>
              <w:top w:val="outset" w:color="auto" w:sz="6" w:space="0"/>
              <w:left w:val="outset" w:color="auto" w:sz="6" w:space="0"/>
              <w:bottom w:val="outset" w:color="auto" w:sz="6" w:space="0"/>
              <w:right w:val="outset" w:color="auto" w:sz="6" w:space="0"/>
            </w:tcBorders>
          </w:tcPr>
          <w:p w14:paraId="74956D6D">
            <w:pPr>
              <w:spacing w:after="160" w:line="259" w:lineRule="auto"/>
              <w:rPr>
                <w:b/>
              </w:rPr>
            </w:pPr>
            <w:r>
              <w:rPr>
                <w:b/>
              </w:rPr>
              <w:t>Texto da meta</w:t>
            </w:r>
          </w:p>
        </w:tc>
      </w:tr>
      <w:tr w14:paraId="0539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nil"/>
              <w:left w:val="outset" w:color="auto" w:sz="6" w:space="0"/>
              <w:bottom w:val="outset" w:color="auto" w:sz="6" w:space="0"/>
              <w:right w:val="outset" w:color="auto" w:sz="6" w:space="0"/>
            </w:tcBorders>
          </w:tcPr>
          <w:p w14:paraId="2643F774">
            <w:pPr>
              <w:spacing w:after="160" w:line="259" w:lineRule="auto"/>
            </w:pPr>
            <w:r>
              <w:t>15</w:t>
            </w:r>
          </w:p>
          <w:p w14:paraId="3027A0B5">
            <w:pPr>
              <w:spacing w:after="160" w:line="259" w:lineRule="auto"/>
            </w:pPr>
          </w:p>
          <w:p w14:paraId="0D338B80">
            <w:pPr>
              <w:spacing w:after="160" w:line="259" w:lineRule="auto"/>
            </w:pPr>
          </w:p>
          <w:p w14:paraId="72F19372">
            <w:pPr>
              <w:spacing w:after="160" w:line="259" w:lineRule="auto"/>
            </w:pPr>
          </w:p>
        </w:tc>
        <w:tc>
          <w:tcPr>
            <w:tcW w:w="8219" w:type="dxa"/>
            <w:tcBorders>
              <w:top w:val="nil"/>
              <w:left w:val="outset" w:color="auto" w:sz="6" w:space="0"/>
              <w:bottom w:val="outset" w:color="auto" w:sz="6" w:space="0"/>
              <w:right w:val="outset" w:color="auto" w:sz="6" w:space="0"/>
            </w:tcBorders>
          </w:tcPr>
          <w:p w14:paraId="7415D969">
            <w:pPr>
              <w:spacing w:after="160" w:line="259" w:lineRule="auto"/>
              <w:jc w:val="both"/>
              <w:rPr>
                <w:i/>
              </w:rPr>
            </w:pPr>
            <w:r>
              <w:rPr>
                <w:bCs/>
              </w:rPr>
              <w:t>Garantir, em regime de colaboração entre a União, o Estado e o Município, no prazo de 1 (um) ano de vigência deste PME, política municipal de formação dos profissionais da educação de que tratam os incisos I, II e III do caput do art. 61 da Lei no 9.394, de 20 de dezembro de 1996, assegurado que todos os professores e as professoras da educação básica possuam formação específica de nível superior, obtida em curso de licenciatura na área de conhecimento em que atuam.</w:t>
            </w:r>
          </w:p>
        </w:tc>
      </w:tr>
      <w:tr w14:paraId="602A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outset" w:color="auto" w:sz="6" w:space="0"/>
              <w:left w:val="outset" w:color="auto" w:sz="6" w:space="0"/>
              <w:bottom w:val="outset" w:color="auto" w:sz="6" w:space="0"/>
              <w:right w:val="outset" w:color="auto" w:sz="6" w:space="0"/>
            </w:tcBorders>
          </w:tcPr>
          <w:p w14:paraId="42AEB44A">
            <w:pPr>
              <w:spacing w:after="160" w:line="259" w:lineRule="auto"/>
              <w:rPr>
                <w:rFonts w:hint="default"/>
                <w:lang w:val="pt-BR"/>
              </w:rPr>
            </w:pPr>
            <w:r>
              <w:t xml:space="preserve">Indicador </w:t>
            </w:r>
            <w:r>
              <w:rPr>
                <w:rFonts w:hint="default"/>
                <w:lang w:val="pt-BR"/>
              </w:rPr>
              <w:t>15B Nacional</w:t>
            </w:r>
          </w:p>
        </w:tc>
        <w:tc>
          <w:tcPr>
            <w:tcW w:w="8219" w:type="dxa"/>
            <w:tcBorders>
              <w:top w:val="outset" w:color="auto" w:sz="6" w:space="0"/>
              <w:left w:val="outset" w:color="auto" w:sz="6" w:space="0"/>
              <w:bottom w:val="outset" w:color="auto" w:sz="6" w:space="0"/>
              <w:right w:val="outset" w:color="auto" w:sz="6" w:space="0"/>
            </w:tcBorders>
          </w:tcPr>
          <w:p w14:paraId="04D6B2E1">
            <w:pPr>
              <w:spacing w:after="160" w:line="259" w:lineRule="auto"/>
              <w:jc w:val="both"/>
              <w:rPr>
                <w:rFonts w:hint="default"/>
                <w:lang w:val="pt-BR"/>
              </w:rPr>
            </w:pPr>
            <w:r>
              <w:t>Proporção de docências dos anos iniciais do ensino fundamental com professores cuja formação superior está adequada à área de conhecimento que lecionam</w:t>
            </w:r>
            <w:r>
              <w:rPr>
                <w:rFonts w:hint="default"/>
                <w:lang w:val="pt-BR"/>
              </w:rPr>
              <w:t>.</w:t>
            </w:r>
          </w:p>
        </w:tc>
      </w:tr>
      <w:tr w14:paraId="359E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outset" w:color="auto" w:sz="6" w:space="0"/>
              <w:left w:val="outset" w:color="auto" w:sz="6" w:space="0"/>
              <w:bottom w:val="outset" w:color="auto" w:sz="6" w:space="0"/>
              <w:right w:val="outset" w:color="auto" w:sz="6" w:space="0"/>
            </w:tcBorders>
          </w:tcPr>
          <w:p w14:paraId="643F5154">
            <w:pPr>
              <w:spacing w:after="160" w:line="259" w:lineRule="auto"/>
              <w:rPr>
                <w:rFonts w:hint="default"/>
                <w:lang w:val="pt-BR"/>
              </w:rPr>
            </w:pPr>
            <w:r>
              <w:rPr>
                <w:rFonts w:hint="default"/>
                <w:lang w:val="pt-BR"/>
              </w:rPr>
              <w:t>Indicador 15B Proposto</w:t>
            </w:r>
          </w:p>
        </w:tc>
        <w:tc>
          <w:tcPr>
            <w:tcW w:w="8219" w:type="dxa"/>
            <w:tcBorders>
              <w:top w:val="outset" w:color="auto" w:sz="6" w:space="0"/>
              <w:left w:val="outset" w:color="auto" w:sz="6" w:space="0"/>
              <w:bottom w:val="outset" w:color="auto" w:sz="6" w:space="0"/>
              <w:right w:val="outset" w:color="auto" w:sz="6" w:space="0"/>
            </w:tcBorders>
          </w:tcPr>
          <w:p w14:paraId="1BC66331">
            <w:pPr>
              <w:spacing w:after="160" w:line="259" w:lineRule="auto"/>
              <w:jc w:val="both"/>
              <w:rPr>
                <w:rFonts w:hint="default"/>
                <w:lang w:val="pt-BR"/>
              </w:rPr>
            </w:pPr>
            <w:r>
              <w:rPr>
                <w:rFonts w:hint="default"/>
                <w:lang w:val="pt-BR"/>
              </w:rPr>
              <w:t>Replicar o nacional</w:t>
            </w:r>
          </w:p>
        </w:tc>
      </w:tr>
      <w:tr w14:paraId="694D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nil"/>
              <w:left w:val="outset" w:color="auto" w:sz="6" w:space="0"/>
              <w:bottom w:val="outset" w:color="auto" w:sz="6" w:space="0"/>
              <w:right w:val="outset" w:color="auto" w:sz="6" w:space="0"/>
            </w:tcBorders>
          </w:tcPr>
          <w:p w14:paraId="706FDE99">
            <w:pPr>
              <w:spacing w:after="160" w:line="259" w:lineRule="auto"/>
            </w:pPr>
            <w:r>
              <w:t>Fórmula de cálculo</w:t>
            </w:r>
          </w:p>
        </w:tc>
        <w:tc>
          <w:tcPr>
            <w:tcW w:w="8219" w:type="dxa"/>
            <w:tcBorders>
              <w:top w:val="nil"/>
              <w:left w:val="outset" w:color="auto" w:sz="6" w:space="0"/>
              <w:bottom w:val="outset" w:color="auto" w:sz="6" w:space="0"/>
              <w:right w:val="outset" w:color="auto" w:sz="6" w:space="0"/>
            </w:tcBorders>
          </w:tcPr>
          <w:p w14:paraId="3A3DA546">
            <w:pPr>
              <w:spacing w:after="160" w:line="259" w:lineRule="auto"/>
            </w:pPr>
            <w:r>
              <w:t>(Quantidade de docências dos anos iniciais do ensino fundamental com professores cuja formação superior está adequada à área de conhecimento que lecionam / Quantidade total de docências dos anos iniciais do ensino fundamental) x 100</w:t>
            </w:r>
          </w:p>
        </w:tc>
      </w:tr>
      <w:tr w14:paraId="5E6D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nil"/>
              <w:left w:val="outset" w:color="auto" w:sz="6" w:space="0"/>
              <w:bottom w:val="outset" w:color="auto" w:sz="6" w:space="0"/>
              <w:right w:val="outset" w:color="auto" w:sz="6" w:space="0"/>
            </w:tcBorders>
          </w:tcPr>
          <w:p w14:paraId="21649A61">
            <w:pPr>
              <w:spacing w:after="160" w:line="259" w:lineRule="auto"/>
            </w:pPr>
            <w:r>
              <w:t>Comentário</w:t>
            </w:r>
          </w:p>
        </w:tc>
        <w:tc>
          <w:tcPr>
            <w:tcW w:w="8219" w:type="dxa"/>
            <w:tcBorders>
              <w:top w:val="nil"/>
              <w:left w:val="outset" w:color="auto" w:sz="6" w:space="0"/>
              <w:bottom w:val="outset" w:color="auto" w:sz="6" w:space="0"/>
              <w:right w:val="outset" w:color="auto" w:sz="6" w:space="0"/>
            </w:tcBorders>
          </w:tcPr>
          <w:p w14:paraId="7D74FFA6">
            <w:pPr>
              <w:spacing w:after="160" w:line="259" w:lineRule="auto"/>
            </w:pPr>
            <w:r>
              <w:t>Calculado conforme Relatório do 3º Ciclo de Monitoramento das Metas do Plano Nacional de Educação - 2020 (INEP).</w:t>
            </w:r>
          </w:p>
        </w:tc>
      </w:tr>
    </w:tbl>
    <w:p w14:paraId="15E8BC90">
      <w:r>
        <w:t xml:space="preserve"> </w:t>
      </w:r>
    </w:p>
    <w:tbl>
      <w:tblPr>
        <w:tblStyle w:val="9"/>
        <w:tblW w:w="13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1500"/>
        <w:gridCol w:w="1309"/>
        <w:gridCol w:w="1146"/>
        <w:gridCol w:w="1132"/>
        <w:gridCol w:w="1104"/>
        <w:gridCol w:w="995"/>
        <w:gridCol w:w="1132"/>
        <w:gridCol w:w="887"/>
        <w:gridCol w:w="900"/>
        <w:gridCol w:w="1190"/>
      </w:tblGrid>
      <w:tr w14:paraId="560A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7" w:type="dxa"/>
            <w:gridSpan w:val="10"/>
          </w:tcPr>
          <w:p w14:paraId="611468B7">
            <w:pPr>
              <w:jc w:val="center"/>
              <w:rPr>
                <w:rFonts w:hint="default"/>
                <w:b/>
                <w:bCs/>
                <w:vertAlign w:val="baseline"/>
                <w:lang w:val="pt-BR"/>
              </w:rPr>
            </w:pPr>
            <w:r>
              <w:rPr>
                <w:rFonts w:hint="default"/>
                <w:b/>
                <w:bCs/>
                <w:vertAlign w:val="baseline"/>
                <w:lang w:val="pt-BR"/>
              </w:rPr>
              <w:t>Dados/Indicadores: Indicador 15B</w:t>
            </w:r>
          </w:p>
        </w:tc>
        <w:tc>
          <w:tcPr>
            <w:tcW w:w="1190" w:type="dxa"/>
          </w:tcPr>
          <w:p w14:paraId="4A584F12">
            <w:pPr>
              <w:jc w:val="center"/>
              <w:rPr>
                <w:rFonts w:hint="default"/>
                <w:b/>
                <w:bCs/>
                <w:vertAlign w:val="baseline"/>
                <w:lang w:val="pt-BR"/>
              </w:rPr>
            </w:pPr>
          </w:p>
        </w:tc>
      </w:tr>
      <w:tr w14:paraId="279A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322" w:type="dxa"/>
            <w:tcBorders>
              <w:top w:val="outset" w:color="auto" w:sz="6" w:space="0"/>
              <w:left w:val="outset" w:color="auto" w:sz="6" w:space="0"/>
              <w:bottom w:val="outset" w:color="auto" w:sz="6" w:space="0"/>
              <w:right w:val="outset" w:color="auto" w:sz="6" w:space="0"/>
            </w:tcBorders>
          </w:tcPr>
          <w:p w14:paraId="36ACBEF4">
            <w:pPr>
              <w:spacing w:after="160" w:line="259" w:lineRule="auto"/>
              <w:rPr>
                <w:rFonts w:hint="default"/>
                <w:lang w:val="pt-BR"/>
              </w:rPr>
            </w:pPr>
            <w:r>
              <w:rPr>
                <w:rFonts w:hint="default"/>
                <w:lang w:val="pt-BR"/>
              </w:rPr>
              <w:t>Ano</w:t>
            </w:r>
          </w:p>
        </w:tc>
        <w:tc>
          <w:tcPr>
            <w:tcW w:w="1500" w:type="dxa"/>
            <w:tcBorders>
              <w:top w:val="outset" w:color="auto" w:sz="6" w:space="0"/>
              <w:left w:val="outset" w:color="auto" w:sz="6" w:space="0"/>
              <w:bottom w:val="outset" w:color="auto" w:sz="6" w:space="0"/>
              <w:right w:val="outset" w:color="auto" w:sz="6" w:space="0"/>
            </w:tcBorders>
          </w:tcPr>
          <w:p w14:paraId="52CC5E97">
            <w:pPr>
              <w:spacing w:after="160" w:line="259" w:lineRule="auto"/>
            </w:pPr>
            <w:r>
              <w:t>2014</w:t>
            </w:r>
          </w:p>
        </w:tc>
        <w:tc>
          <w:tcPr>
            <w:tcW w:w="1309" w:type="dxa"/>
            <w:tcBorders>
              <w:top w:val="outset" w:color="auto" w:sz="6" w:space="0"/>
              <w:left w:val="outset" w:color="auto" w:sz="6" w:space="0"/>
              <w:bottom w:val="outset" w:color="auto" w:sz="6" w:space="0"/>
              <w:right w:val="outset" w:color="auto" w:sz="6" w:space="0"/>
            </w:tcBorders>
          </w:tcPr>
          <w:p w14:paraId="406ADF30">
            <w:pPr>
              <w:spacing w:after="160" w:line="259" w:lineRule="auto"/>
            </w:pPr>
            <w:r>
              <w:t>2015</w:t>
            </w:r>
          </w:p>
        </w:tc>
        <w:tc>
          <w:tcPr>
            <w:tcW w:w="1146" w:type="dxa"/>
            <w:tcBorders>
              <w:top w:val="outset" w:color="auto" w:sz="6" w:space="0"/>
              <w:left w:val="outset" w:color="auto" w:sz="6" w:space="0"/>
              <w:bottom w:val="outset" w:color="auto" w:sz="6" w:space="0"/>
              <w:right w:val="outset" w:color="auto" w:sz="6" w:space="0"/>
            </w:tcBorders>
          </w:tcPr>
          <w:p w14:paraId="674415B9">
            <w:pPr>
              <w:spacing w:after="160" w:line="259" w:lineRule="auto"/>
            </w:pPr>
            <w:r>
              <w:t>2016</w:t>
            </w:r>
          </w:p>
        </w:tc>
        <w:tc>
          <w:tcPr>
            <w:tcW w:w="1132" w:type="dxa"/>
            <w:tcBorders>
              <w:top w:val="outset" w:color="auto" w:sz="6" w:space="0"/>
              <w:left w:val="outset" w:color="auto" w:sz="6" w:space="0"/>
              <w:bottom w:val="outset" w:color="auto" w:sz="6" w:space="0"/>
              <w:right w:val="outset" w:color="auto" w:sz="6" w:space="0"/>
            </w:tcBorders>
          </w:tcPr>
          <w:p w14:paraId="1FD2CDB9">
            <w:pPr>
              <w:spacing w:after="160" w:line="259" w:lineRule="auto"/>
            </w:pPr>
            <w:r>
              <w:t>2017</w:t>
            </w:r>
          </w:p>
        </w:tc>
        <w:tc>
          <w:tcPr>
            <w:tcW w:w="1104" w:type="dxa"/>
            <w:tcBorders>
              <w:top w:val="outset" w:color="auto" w:sz="6" w:space="0"/>
              <w:left w:val="outset" w:color="auto" w:sz="6" w:space="0"/>
              <w:bottom w:val="outset" w:color="auto" w:sz="6" w:space="0"/>
              <w:right w:val="outset" w:color="auto" w:sz="6" w:space="0"/>
            </w:tcBorders>
          </w:tcPr>
          <w:p w14:paraId="3342F6D0">
            <w:pPr>
              <w:spacing w:after="160" w:line="259" w:lineRule="auto"/>
            </w:pPr>
            <w:r>
              <w:t>2018</w:t>
            </w:r>
          </w:p>
        </w:tc>
        <w:tc>
          <w:tcPr>
            <w:tcW w:w="995" w:type="dxa"/>
            <w:tcBorders>
              <w:top w:val="outset" w:color="auto" w:sz="6" w:space="0"/>
              <w:left w:val="outset" w:color="auto" w:sz="6" w:space="0"/>
              <w:bottom w:val="outset" w:color="auto" w:sz="6" w:space="0"/>
              <w:right w:val="outset" w:color="auto" w:sz="6" w:space="0"/>
            </w:tcBorders>
          </w:tcPr>
          <w:p w14:paraId="67E1DB10">
            <w:pPr>
              <w:spacing w:after="160" w:line="259" w:lineRule="auto"/>
            </w:pPr>
            <w:r>
              <w:t>2019</w:t>
            </w:r>
          </w:p>
        </w:tc>
        <w:tc>
          <w:tcPr>
            <w:tcW w:w="1132" w:type="dxa"/>
            <w:tcBorders>
              <w:top w:val="outset" w:color="auto" w:sz="6" w:space="0"/>
              <w:left w:val="outset" w:color="auto" w:sz="6" w:space="0"/>
              <w:bottom w:val="outset" w:color="auto" w:sz="6" w:space="0"/>
              <w:right w:val="outset" w:color="auto" w:sz="6" w:space="0"/>
            </w:tcBorders>
          </w:tcPr>
          <w:p w14:paraId="54C5B055">
            <w:pPr>
              <w:spacing w:after="160" w:line="259" w:lineRule="auto"/>
            </w:pPr>
            <w:r>
              <w:t>2020</w:t>
            </w:r>
          </w:p>
        </w:tc>
        <w:tc>
          <w:tcPr>
            <w:tcW w:w="887" w:type="dxa"/>
            <w:tcBorders>
              <w:top w:val="outset" w:color="auto" w:sz="6" w:space="0"/>
              <w:left w:val="outset" w:color="auto" w:sz="6" w:space="0"/>
              <w:bottom w:val="outset" w:color="auto" w:sz="6" w:space="0"/>
              <w:right w:val="outset" w:color="auto" w:sz="6" w:space="0"/>
            </w:tcBorders>
          </w:tcPr>
          <w:p w14:paraId="420F0813">
            <w:pPr>
              <w:spacing w:after="160" w:line="259" w:lineRule="auto"/>
            </w:pPr>
            <w:r>
              <w:t>2021</w:t>
            </w:r>
          </w:p>
        </w:tc>
        <w:tc>
          <w:tcPr>
            <w:tcW w:w="900" w:type="dxa"/>
            <w:tcBorders>
              <w:top w:val="outset" w:color="auto" w:sz="6" w:space="0"/>
              <w:left w:val="outset" w:color="auto" w:sz="6" w:space="0"/>
              <w:bottom w:val="outset" w:color="auto" w:sz="6" w:space="0"/>
              <w:right w:val="outset" w:color="auto" w:sz="6" w:space="0"/>
            </w:tcBorders>
          </w:tcPr>
          <w:p w14:paraId="5F8061ED">
            <w:pPr>
              <w:spacing w:after="160" w:line="259" w:lineRule="auto"/>
            </w:pPr>
            <w:r>
              <w:t>2022</w:t>
            </w:r>
          </w:p>
        </w:tc>
        <w:tc>
          <w:tcPr>
            <w:tcW w:w="1190" w:type="dxa"/>
            <w:tcBorders>
              <w:top w:val="outset" w:color="auto" w:sz="6" w:space="0"/>
              <w:left w:val="outset" w:color="auto" w:sz="6" w:space="0"/>
              <w:bottom w:val="outset" w:color="auto" w:sz="6" w:space="0"/>
              <w:right w:val="outset" w:color="auto" w:sz="6" w:space="0"/>
            </w:tcBorders>
          </w:tcPr>
          <w:p w14:paraId="1DA3BCE1">
            <w:pPr>
              <w:spacing w:after="160" w:line="259" w:lineRule="auto"/>
              <w:rPr>
                <w:rFonts w:hint="default"/>
                <w:lang w:val="pt-BR"/>
              </w:rPr>
            </w:pPr>
            <w:r>
              <w:rPr>
                <w:rFonts w:hint="default"/>
                <w:lang w:val="pt-BR"/>
              </w:rPr>
              <w:t>2023</w:t>
            </w:r>
          </w:p>
        </w:tc>
      </w:tr>
      <w:tr w14:paraId="3043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322" w:type="dxa"/>
            <w:tcBorders>
              <w:top w:val="nil"/>
              <w:left w:val="outset" w:color="auto" w:sz="6" w:space="0"/>
              <w:bottom w:val="outset" w:color="auto" w:sz="6" w:space="0"/>
              <w:right w:val="outset" w:color="auto" w:sz="6" w:space="0"/>
            </w:tcBorders>
          </w:tcPr>
          <w:p w14:paraId="17F8FC11">
            <w:pPr>
              <w:spacing w:after="160" w:line="259" w:lineRule="auto"/>
            </w:pPr>
            <w:r>
              <w:t xml:space="preserve">Indicador </w:t>
            </w:r>
          </w:p>
        </w:tc>
        <w:tc>
          <w:tcPr>
            <w:tcW w:w="1500" w:type="dxa"/>
            <w:tcBorders>
              <w:top w:val="nil"/>
              <w:left w:val="outset" w:color="auto" w:sz="6" w:space="0"/>
              <w:bottom w:val="outset" w:color="auto" w:sz="6" w:space="0"/>
              <w:right w:val="outset" w:color="auto" w:sz="6" w:space="0"/>
            </w:tcBorders>
          </w:tcPr>
          <w:p w14:paraId="47191F5B">
            <w:pPr>
              <w:spacing w:after="160" w:line="259" w:lineRule="auto"/>
            </w:pPr>
            <w:r>
              <w:t>81,8%</w:t>
            </w:r>
          </w:p>
        </w:tc>
        <w:tc>
          <w:tcPr>
            <w:tcW w:w="1309" w:type="dxa"/>
            <w:tcBorders>
              <w:top w:val="nil"/>
              <w:left w:val="outset" w:color="auto" w:sz="6" w:space="0"/>
              <w:bottom w:val="outset" w:color="auto" w:sz="6" w:space="0"/>
              <w:right w:val="outset" w:color="auto" w:sz="6" w:space="0"/>
            </w:tcBorders>
          </w:tcPr>
          <w:p w14:paraId="5FAD812B">
            <w:pPr>
              <w:spacing w:after="160" w:line="259" w:lineRule="auto"/>
            </w:pPr>
            <w:r>
              <w:t>75,3%</w:t>
            </w:r>
          </w:p>
        </w:tc>
        <w:tc>
          <w:tcPr>
            <w:tcW w:w="1146" w:type="dxa"/>
            <w:tcBorders>
              <w:top w:val="nil"/>
              <w:left w:val="outset" w:color="auto" w:sz="6" w:space="0"/>
              <w:bottom w:val="outset" w:color="auto" w:sz="6" w:space="0"/>
              <w:right w:val="outset" w:color="auto" w:sz="6" w:space="0"/>
            </w:tcBorders>
          </w:tcPr>
          <w:p w14:paraId="058EEE37">
            <w:pPr>
              <w:spacing w:after="160" w:line="259" w:lineRule="auto"/>
            </w:pPr>
            <w:r>
              <w:t>63,2%</w:t>
            </w:r>
          </w:p>
        </w:tc>
        <w:tc>
          <w:tcPr>
            <w:tcW w:w="1132" w:type="dxa"/>
            <w:tcBorders>
              <w:top w:val="nil"/>
              <w:left w:val="outset" w:color="auto" w:sz="6" w:space="0"/>
              <w:bottom w:val="outset" w:color="auto" w:sz="6" w:space="0"/>
              <w:right w:val="outset" w:color="auto" w:sz="6" w:space="0"/>
            </w:tcBorders>
          </w:tcPr>
          <w:p w14:paraId="3E70F2DA">
            <w:pPr>
              <w:spacing w:after="160" w:line="259" w:lineRule="auto"/>
            </w:pPr>
            <w:r>
              <w:t>81,8%</w:t>
            </w:r>
          </w:p>
        </w:tc>
        <w:tc>
          <w:tcPr>
            <w:tcW w:w="1104" w:type="dxa"/>
            <w:tcBorders>
              <w:top w:val="nil"/>
              <w:left w:val="outset" w:color="auto" w:sz="6" w:space="0"/>
              <w:bottom w:val="outset" w:color="auto" w:sz="6" w:space="0"/>
              <w:right w:val="outset" w:color="auto" w:sz="6" w:space="0"/>
            </w:tcBorders>
          </w:tcPr>
          <w:p w14:paraId="3E1B9867">
            <w:pPr>
              <w:spacing w:after="160" w:line="259" w:lineRule="auto"/>
            </w:pPr>
            <w:r>
              <w:t>59,6%</w:t>
            </w:r>
          </w:p>
        </w:tc>
        <w:tc>
          <w:tcPr>
            <w:tcW w:w="995" w:type="dxa"/>
            <w:tcBorders>
              <w:top w:val="nil"/>
              <w:left w:val="outset" w:color="auto" w:sz="6" w:space="0"/>
              <w:bottom w:val="outset" w:color="auto" w:sz="6" w:space="0"/>
              <w:right w:val="outset" w:color="auto" w:sz="6" w:space="0"/>
            </w:tcBorders>
          </w:tcPr>
          <w:p w14:paraId="3A802638">
            <w:pPr>
              <w:spacing w:after="160" w:line="259" w:lineRule="auto"/>
            </w:pPr>
            <w:r>
              <w:t>74,3%</w:t>
            </w:r>
          </w:p>
        </w:tc>
        <w:tc>
          <w:tcPr>
            <w:tcW w:w="1132" w:type="dxa"/>
            <w:tcBorders>
              <w:top w:val="nil"/>
              <w:left w:val="outset" w:color="auto" w:sz="6" w:space="0"/>
              <w:bottom w:val="outset" w:color="auto" w:sz="6" w:space="0"/>
              <w:right w:val="outset" w:color="auto" w:sz="6" w:space="0"/>
            </w:tcBorders>
          </w:tcPr>
          <w:p w14:paraId="4C7C818C">
            <w:pPr>
              <w:spacing w:after="160" w:line="259" w:lineRule="auto"/>
            </w:pPr>
            <w:r>
              <w:t>75,9%</w:t>
            </w:r>
          </w:p>
        </w:tc>
        <w:tc>
          <w:tcPr>
            <w:tcW w:w="887" w:type="dxa"/>
            <w:tcBorders>
              <w:top w:val="nil"/>
              <w:left w:val="outset" w:color="auto" w:sz="6" w:space="0"/>
              <w:bottom w:val="outset" w:color="auto" w:sz="6" w:space="0"/>
              <w:right w:val="outset" w:color="auto" w:sz="6" w:space="0"/>
            </w:tcBorders>
          </w:tcPr>
          <w:p w14:paraId="0A9AD933">
            <w:pPr>
              <w:spacing w:after="160" w:line="259" w:lineRule="auto"/>
            </w:pPr>
            <w:r>
              <w:t>85,9%</w:t>
            </w:r>
          </w:p>
        </w:tc>
        <w:tc>
          <w:tcPr>
            <w:tcW w:w="900" w:type="dxa"/>
            <w:tcBorders>
              <w:top w:val="nil"/>
              <w:left w:val="outset" w:color="auto" w:sz="6" w:space="0"/>
              <w:bottom w:val="outset" w:color="auto" w:sz="6" w:space="0"/>
              <w:right w:val="outset" w:color="auto" w:sz="6" w:space="0"/>
            </w:tcBorders>
          </w:tcPr>
          <w:p w14:paraId="1FCB5E74">
            <w:pPr>
              <w:spacing w:after="160" w:line="259" w:lineRule="auto"/>
            </w:pPr>
            <w:r>
              <w:t>76,8%</w:t>
            </w:r>
          </w:p>
        </w:tc>
        <w:tc>
          <w:tcPr>
            <w:tcW w:w="1190" w:type="dxa"/>
            <w:tcBorders>
              <w:top w:val="nil"/>
              <w:left w:val="outset" w:color="auto" w:sz="6" w:space="0"/>
              <w:bottom w:val="outset" w:color="auto" w:sz="6" w:space="0"/>
              <w:right w:val="outset" w:color="auto" w:sz="6" w:space="0"/>
            </w:tcBorders>
          </w:tcPr>
          <w:p w14:paraId="6DF7BD95">
            <w:pPr>
              <w:spacing w:after="160" w:line="259" w:lineRule="auto"/>
              <w:rPr>
                <w:rFonts w:hint="default"/>
                <w:lang w:val="pt-BR"/>
              </w:rPr>
            </w:pPr>
            <w:r>
              <w:rPr>
                <w:rFonts w:hint="default"/>
                <w:lang w:val="pt-BR"/>
              </w:rPr>
              <w:t>94,4%</w:t>
            </w:r>
          </w:p>
        </w:tc>
      </w:tr>
      <w:tr w14:paraId="7673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7" w:type="dxa"/>
            <w:gridSpan w:val="11"/>
          </w:tcPr>
          <w:p w14:paraId="70FE1DE5">
            <w:pPr>
              <w:jc w:val="center"/>
              <w:rPr>
                <w:rFonts w:hint="default"/>
                <w:vertAlign w:val="baseline"/>
                <w:lang w:val="pt-BR"/>
              </w:rPr>
            </w:pPr>
            <w:r>
              <w:rPr>
                <w:rFonts w:hint="default"/>
                <w:vertAlign w:val="baseline"/>
                <w:lang w:val="pt-BR"/>
              </w:rPr>
              <w:t>Fonte: INEP - Censo Escolar da Educação Básica</w:t>
            </w:r>
          </w:p>
        </w:tc>
      </w:tr>
    </w:tbl>
    <w:p w14:paraId="23256A77"/>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7"/>
        <w:gridCol w:w="8219"/>
      </w:tblGrid>
      <w:tr w14:paraId="65DA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0D6AB351">
            <w:pPr>
              <w:jc w:val="center"/>
              <w:rPr>
                <w:rFonts w:hint="default"/>
                <w:b/>
                <w:bCs/>
                <w:vertAlign w:val="baseline"/>
                <w:lang w:val="pt-BR"/>
              </w:rPr>
            </w:pPr>
            <w:r>
              <w:rPr>
                <w:rFonts w:hint="default"/>
                <w:b/>
                <w:bCs/>
                <w:vertAlign w:val="baseline"/>
                <w:lang w:val="pt-BR"/>
              </w:rPr>
              <w:t>Ficha metodológica para o indicador 15C - base PNE</w:t>
            </w:r>
          </w:p>
        </w:tc>
      </w:tr>
      <w:tr w14:paraId="0178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outset" w:color="auto" w:sz="6" w:space="0"/>
              <w:left w:val="outset" w:color="auto" w:sz="6" w:space="0"/>
              <w:bottom w:val="outset" w:color="auto" w:sz="6" w:space="0"/>
              <w:right w:val="outset" w:color="auto" w:sz="6" w:space="0"/>
            </w:tcBorders>
          </w:tcPr>
          <w:p w14:paraId="584DF534">
            <w:pPr>
              <w:spacing w:after="160" w:line="259" w:lineRule="auto"/>
              <w:rPr>
                <w:b/>
              </w:rPr>
            </w:pPr>
            <w:r>
              <w:rPr>
                <w:b/>
              </w:rPr>
              <w:t>Meta</w:t>
            </w:r>
          </w:p>
        </w:tc>
        <w:tc>
          <w:tcPr>
            <w:tcW w:w="8219" w:type="dxa"/>
            <w:tcBorders>
              <w:top w:val="outset" w:color="auto" w:sz="6" w:space="0"/>
              <w:left w:val="outset" w:color="auto" w:sz="6" w:space="0"/>
              <w:bottom w:val="outset" w:color="auto" w:sz="6" w:space="0"/>
              <w:right w:val="outset" w:color="auto" w:sz="6" w:space="0"/>
            </w:tcBorders>
          </w:tcPr>
          <w:p w14:paraId="69FB5D76">
            <w:pPr>
              <w:spacing w:after="160" w:line="259" w:lineRule="auto"/>
              <w:rPr>
                <w:b/>
              </w:rPr>
            </w:pPr>
            <w:r>
              <w:rPr>
                <w:b/>
              </w:rPr>
              <w:t>Texto da meta</w:t>
            </w:r>
          </w:p>
        </w:tc>
      </w:tr>
      <w:tr w14:paraId="191A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nil"/>
              <w:left w:val="outset" w:color="auto" w:sz="6" w:space="0"/>
              <w:bottom w:val="outset" w:color="auto" w:sz="6" w:space="0"/>
              <w:right w:val="outset" w:color="auto" w:sz="6" w:space="0"/>
            </w:tcBorders>
          </w:tcPr>
          <w:p w14:paraId="0111C48C">
            <w:pPr>
              <w:spacing w:after="160" w:line="259" w:lineRule="auto"/>
            </w:pPr>
            <w:r>
              <w:t>15</w:t>
            </w:r>
          </w:p>
          <w:p w14:paraId="6DA35977">
            <w:pPr>
              <w:spacing w:after="160" w:line="259" w:lineRule="auto"/>
            </w:pPr>
          </w:p>
          <w:p w14:paraId="71B7F0EA">
            <w:pPr>
              <w:spacing w:after="160" w:line="259" w:lineRule="auto"/>
            </w:pPr>
          </w:p>
          <w:p w14:paraId="6AD2F514">
            <w:pPr>
              <w:spacing w:after="160" w:line="259" w:lineRule="auto"/>
            </w:pPr>
          </w:p>
        </w:tc>
        <w:tc>
          <w:tcPr>
            <w:tcW w:w="8219" w:type="dxa"/>
            <w:tcBorders>
              <w:top w:val="nil"/>
              <w:left w:val="outset" w:color="auto" w:sz="6" w:space="0"/>
              <w:bottom w:val="outset" w:color="auto" w:sz="6" w:space="0"/>
              <w:right w:val="outset" w:color="auto" w:sz="6" w:space="0"/>
            </w:tcBorders>
          </w:tcPr>
          <w:p w14:paraId="7F3B0174">
            <w:pPr>
              <w:spacing w:after="160" w:line="259" w:lineRule="auto"/>
              <w:jc w:val="both"/>
              <w:rPr>
                <w:i/>
              </w:rPr>
            </w:pPr>
            <w:r>
              <w:rPr>
                <w:bCs/>
              </w:rPr>
              <w:t>Garantir, em regime de colaboração entre a União, o Estado e o Município, no prazo de 1 (um) ano de vigência deste PME, política municipal de formação dos profissionais da educação de que tratam os incisos I, II e III do caput do art. 61 da Lei no 9.394, de 20 de dezembro de 1996, assegurado que todos os professores e as professoras da educação básica possuam formação específica de nível superior, obtida em curso de licenciatura na área de conhecimento em que atuam.</w:t>
            </w:r>
          </w:p>
        </w:tc>
      </w:tr>
      <w:tr w14:paraId="703A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outset" w:color="auto" w:sz="6" w:space="0"/>
              <w:left w:val="outset" w:color="auto" w:sz="6" w:space="0"/>
              <w:bottom w:val="outset" w:color="auto" w:sz="6" w:space="0"/>
              <w:right w:val="outset" w:color="auto" w:sz="6" w:space="0"/>
            </w:tcBorders>
          </w:tcPr>
          <w:p w14:paraId="4CE40CCF">
            <w:pPr>
              <w:spacing w:after="160" w:line="259" w:lineRule="auto"/>
              <w:rPr>
                <w:rFonts w:hint="default"/>
                <w:lang w:val="pt-BR"/>
              </w:rPr>
            </w:pPr>
            <w:r>
              <w:t xml:space="preserve">Indicador </w:t>
            </w:r>
            <w:r>
              <w:rPr>
                <w:rFonts w:hint="default"/>
                <w:lang w:val="pt-BR"/>
              </w:rPr>
              <w:t>15C nacional</w:t>
            </w:r>
          </w:p>
        </w:tc>
        <w:tc>
          <w:tcPr>
            <w:tcW w:w="8219" w:type="dxa"/>
            <w:tcBorders>
              <w:top w:val="outset" w:color="auto" w:sz="6" w:space="0"/>
              <w:left w:val="outset" w:color="auto" w:sz="6" w:space="0"/>
              <w:bottom w:val="outset" w:color="auto" w:sz="6" w:space="0"/>
              <w:right w:val="outset" w:color="auto" w:sz="6" w:space="0"/>
            </w:tcBorders>
          </w:tcPr>
          <w:p w14:paraId="10690A83">
            <w:pPr>
              <w:spacing w:after="160" w:line="259" w:lineRule="auto"/>
              <w:jc w:val="both"/>
              <w:rPr>
                <w:rFonts w:hint="default"/>
                <w:lang w:val="pt-BR"/>
              </w:rPr>
            </w:pPr>
            <w:r>
              <w:t>Proporção de docências dos anos finais do ensino fundamental com professores cuja formação superior está adequada à área de conhecimento que lecionam</w:t>
            </w:r>
            <w:r>
              <w:rPr>
                <w:rFonts w:hint="default"/>
                <w:lang w:val="pt-BR"/>
              </w:rPr>
              <w:t>.</w:t>
            </w:r>
          </w:p>
        </w:tc>
      </w:tr>
      <w:tr w14:paraId="1506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outset" w:color="auto" w:sz="6" w:space="0"/>
              <w:left w:val="outset" w:color="auto" w:sz="6" w:space="0"/>
              <w:bottom w:val="outset" w:color="auto" w:sz="6" w:space="0"/>
              <w:right w:val="outset" w:color="auto" w:sz="6" w:space="0"/>
            </w:tcBorders>
          </w:tcPr>
          <w:p w14:paraId="30C79069">
            <w:pPr>
              <w:spacing w:after="160" w:line="259" w:lineRule="auto"/>
              <w:rPr>
                <w:rFonts w:hint="default"/>
                <w:lang w:val="pt-BR"/>
              </w:rPr>
            </w:pPr>
            <w:r>
              <w:rPr>
                <w:rFonts w:hint="default"/>
                <w:lang w:val="pt-BR"/>
              </w:rPr>
              <w:t>Indicador 15C Proposto</w:t>
            </w:r>
          </w:p>
        </w:tc>
        <w:tc>
          <w:tcPr>
            <w:tcW w:w="8219" w:type="dxa"/>
            <w:tcBorders>
              <w:top w:val="outset" w:color="auto" w:sz="6" w:space="0"/>
              <w:left w:val="outset" w:color="auto" w:sz="6" w:space="0"/>
              <w:bottom w:val="outset" w:color="auto" w:sz="6" w:space="0"/>
              <w:right w:val="outset" w:color="auto" w:sz="6" w:space="0"/>
            </w:tcBorders>
          </w:tcPr>
          <w:p w14:paraId="0D87AABB">
            <w:pPr>
              <w:spacing w:after="160" w:line="259" w:lineRule="auto"/>
              <w:jc w:val="both"/>
              <w:rPr>
                <w:rFonts w:hint="default"/>
                <w:lang w:val="pt-BR"/>
              </w:rPr>
            </w:pPr>
            <w:r>
              <w:rPr>
                <w:rFonts w:hint="default"/>
                <w:lang w:val="pt-BR"/>
              </w:rPr>
              <w:t>Replicar o nacional</w:t>
            </w:r>
          </w:p>
        </w:tc>
      </w:tr>
      <w:tr w14:paraId="1B67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nil"/>
              <w:left w:val="outset" w:color="auto" w:sz="6" w:space="0"/>
              <w:bottom w:val="outset" w:color="auto" w:sz="6" w:space="0"/>
              <w:right w:val="outset" w:color="auto" w:sz="6" w:space="0"/>
            </w:tcBorders>
          </w:tcPr>
          <w:p w14:paraId="24B0D645">
            <w:pPr>
              <w:spacing w:after="160" w:line="259" w:lineRule="auto"/>
            </w:pPr>
            <w:r>
              <w:t>Fórmula de cálculo</w:t>
            </w:r>
          </w:p>
        </w:tc>
        <w:tc>
          <w:tcPr>
            <w:tcW w:w="8219" w:type="dxa"/>
            <w:tcBorders>
              <w:top w:val="nil"/>
              <w:left w:val="outset" w:color="auto" w:sz="6" w:space="0"/>
              <w:bottom w:val="outset" w:color="auto" w:sz="6" w:space="0"/>
              <w:right w:val="outset" w:color="auto" w:sz="6" w:space="0"/>
            </w:tcBorders>
          </w:tcPr>
          <w:p w14:paraId="56F8AB30">
            <w:pPr>
              <w:spacing w:after="160" w:line="259" w:lineRule="auto"/>
              <w:jc w:val="both"/>
              <w:rPr>
                <w:rFonts w:hint="default"/>
                <w:lang w:val="pt-BR"/>
              </w:rPr>
            </w:pPr>
            <w:r>
              <w:t>Quantidade de docências dos anos finais do ensino fundamental com professores cuja formação superior está adequada à área de conhecimento que lecionam / Quantidade total de docências dos anos finais do ensino fundamental x 100</w:t>
            </w:r>
            <w:r>
              <w:rPr>
                <w:rFonts w:hint="default"/>
                <w:lang w:val="pt-BR"/>
              </w:rPr>
              <w:t>.</w:t>
            </w:r>
          </w:p>
        </w:tc>
      </w:tr>
      <w:tr w14:paraId="5288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nil"/>
              <w:left w:val="outset" w:color="auto" w:sz="6" w:space="0"/>
              <w:bottom w:val="outset" w:color="auto" w:sz="6" w:space="0"/>
              <w:right w:val="outset" w:color="auto" w:sz="6" w:space="0"/>
            </w:tcBorders>
          </w:tcPr>
          <w:p w14:paraId="5F287202">
            <w:pPr>
              <w:spacing w:after="160" w:line="259" w:lineRule="auto"/>
            </w:pPr>
            <w:r>
              <w:t>Comentário</w:t>
            </w:r>
          </w:p>
        </w:tc>
        <w:tc>
          <w:tcPr>
            <w:tcW w:w="8219" w:type="dxa"/>
            <w:tcBorders>
              <w:top w:val="nil"/>
              <w:left w:val="outset" w:color="auto" w:sz="6" w:space="0"/>
              <w:bottom w:val="outset" w:color="auto" w:sz="6" w:space="0"/>
              <w:right w:val="outset" w:color="auto" w:sz="6" w:space="0"/>
            </w:tcBorders>
          </w:tcPr>
          <w:p w14:paraId="068133D2">
            <w:pPr>
              <w:spacing w:after="160" w:line="259" w:lineRule="auto"/>
            </w:pPr>
            <w:r>
              <w:t>Calculado conforme Relatório do 3º Ciclo de Monitoramento das Metas do Plano Nacional de Educação - 2020 (INEP).</w:t>
            </w:r>
          </w:p>
        </w:tc>
      </w:tr>
    </w:tbl>
    <w:p w14:paraId="130688B1">
      <w:r>
        <w:t xml:space="preserve"> </w:t>
      </w:r>
    </w:p>
    <w:tbl>
      <w:tblPr>
        <w:tblStyle w:val="9"/>
        <w:tblW w:w="13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279"/>
        <w:gridCol w:w="1279"/>
        <w:gridCol w:w="1279"/>
        <w:gridCol w:w="1279"/>
        <w:gridCol w:w="1242"/>
        <w:gridCol w:w="1107"/>
        <w:gridCol w:w="1107"/>
        <w:gridCol w:w="1008"/>
        <w:gridCol w:w="877"/>
        <w:gridCol w:w="107"/>
        <w:gridCol w:w="984"/>
        <w:gridCol w:w="24"/>
      </w:tblGrid>
      <w:tr w14:paraId="5F90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9" w:type="dxa"/>
            <w:gridSpan w:val="10"/>
          </w:tcPr>
          <w:p w14:paraId="459EF8F5">
            <w:pPr>
              <w:jc w:val="center"/>
              <w:rPr>
                <w:rFonts w:hint="default"/>
                <w:b/>
                <w:bCs/>
                <w:vertAlign w:val="baseline"/>
                <w:lang w:val="pt-BR"/>
              </w:rPr>
            </w:pPr>
            <w:r>
              <w:rPr>
                <w:rFonts w:hint="default"/>
                <w:b/>
                <w:bCs/>
                <w:vertAlign w:val="baseline"/>
                <w:lang w:val="pt-BR"/>
              </w:rPr>
              <w:t>Dados/Indicadores: Indicador 15C</w:t>
            </w:r>
          </w:p>
        </w:tc>
        <w:tc>
          <w:tcPr>
            <w:tcW w:w="1115" w:type="dxa"/>
            <w:gridSpan w:val="3"/>
          </w:tcPr>
          <w:p w14:paraId="5005D0BF">
            <w:pPr>
              <w:jc w:val="center"/>
              <w:rPr>
                <w:rFonts w:hint="default"/>
                <w:b/>
                <w:bCs/>
                <w:vertAlign w:val="baseline"/>
                <w:lang w:val="pt-BR"/>
              </w:rPr>
            </w:pPr>
          </w:p>
        </w:tc>
      </w:tr>
      <w:tr w14:paraId="7FC7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 w:type="dxa"/>
          <w:jc w:val="center"/>
        </w:trPr>
        <w:tc>
          <w:tcPr>
            <w:tcW w:w="1482" w:type="dxa"/>
            <w:tcBorders>
              <w:top w:val="outset" w:color="auto" w:sz="6" w:space="0"/>
              <w:left w:val="outset" w:color="auto" w:sz="6" w:space="0"/>
              <w:bottom w:val="outset" w:color="auto" w:sz="6" w:space="0"/>
              <w:right w:val="outset" w:color="auto" w:sz="6" w:space="0"/>
            </w:tcBorders>
          </w:tcPr>
          <w:p w14:paraId="29A73C8C">
            <w:pPr>
              <w:spacing w:after="160" w:line="259" w:lineRule="auto"/>
              <w:rPr>
                <w:rFonts w:hint="default"/>
                <w:lang w:val="pt-BR"/>
              </w:rPr>
            </w:pPr>
            <w:r>
              <w:rPr>
                <w:rFonts w:hint="default"/>
                <w:lang w:val="pt-BR"/>
              </w:rPr>
              <w:t>Ano</w:t>
            </w:r>
          </w:p>
        </w:tc>
        <w:tc>
          <w:tcPr>
            <w:tcW w:w="1279" w:type="dxa"/>
            <w:tcBorders>
              <w:top w:val="outset" w:color="auto" w:sz="6" w:space="0"/>
              <w:left w:val="outset" w:color="auto" w:sz="6" w:space="0"/>
              <w:bottom w:val="outset" w:color="auto" w:sz="6" w:space="0"/>
              <w:right w:val="outset" w:color="auto" w:sz="6" w:space="0"/>
            </w:tcBorders>
          </w:tcPr>
          <w:p w14:paraId="6C90FA95">
            <w:pPr>
              <w:spacing w:after="160" w:line="259" w:lineRule="auto"/>
            </w:pPr>
            <w:r>
              <w:t>2014</w:t>
            </w:r>
          </w:p>
        </w:tc>
        <w:tc>
          <w:tcPr>
            <w:tcW w:w="1279" w:type="dxa"/>
            <w:tcBorders>
              <w:top w:val="outset" w:color="auto" w:sz="6" w:space="0"/>
              <w:left w:val="outset" w:color="auto" w:sz="6" w:space="0"/>
              <w:bottom w:val="outset" w:color="auto" w:sz="6" w:space="0"/>
              <w:right w:val="outset" w:color="auto" w:sz="6" w:space="0"/>
            </w:tcBorders>
          </w:tcPr>
          <w:p w14:paraId="5EDCB96A">
            <w:pPr>
              <w:spacing w:after="160" w:line="259" w:lineRule="auto"/>
            </w:pPr>
            <w:r>
              <w:t>2015</w:t>
            </w:r>
          </w:p>
        </w:tc>
        <w:tc>
          <w:tcPr>
            <w:tcW w:w="1279" w:type="dxa"/>
            <w:tcBorders>
              <w:top w:val="outset" w:color="auto" w:sz="6" w:space="0"/>
              <w:left w:val="outset" w:color="auto" w:sz="6" w:space="0"/>
              <w:bottom w:val="outset" w:color="auto" w:sz="6" w:space="0"/>
              <w:right w:val="outset" w:color="auto" w:sz="6" w:space="0"/>
            </w:tcBorders>
          </w:tcPr>
          <w:p w14:paraId="57565D21">
            <w:pPr>
              <w:spacing w:after="160" w:line="259" w:lineRule="auto"/>
            </w:pPr>
            <w:r>
              <w:t>2016</w:t>
            </w:r>
          </w:p>
        </w:tc>
        <w:tc>
          <w:tcPr>
            <w:tcW w:w="1279" w:type="dxa"/>
            <w:tcBorders>
              <w:top w:val="outset" w:color="auto" w:sz="6" w:space="0"/>
              <w:left w:val="outset" w:color="auto" w:sz="6" w:space="0"/>
              <w:bottom w:val="outset" w:color="auto" w:sz="6" w:space="0"/>
              <w:right w:val="outset" w:color="auto" w:sz="6" w:space="0"/>
            </w:tcBorders>
          </w:tcPr>
          <w:p w14:paraId="7BB02947">
            <w:pPr>
              <w:spacing w:after="160" w:line="259" w:lineRule="auto"/>
            </w:pPr>
            <w:r>
              <w:t>2017</w:t>
            </w:r>
          </w:p>
        </w:tc>
        <w:tc>
          <w:tcPr>
            <w:tcW w:w="1242" w:type="dxa"/>
            <w:tcBorders>
              <w:top w:val="outset" w:color="auto" w:sz="6" w:space="0"/>
              <w:left w:val="outset" w:color="auto" w:sz="6" w:space="0"/>
              <w:bottom w:val="outset" w:color="auto" w:sz="6" w:space="0"/>
              <w:right w:val="outset" w:color="auto" w:sz="6" w:space="0"/>
            </w:tcBorders>
          </w:tcPr>
          <w:p w14:paraId="1E37A939">
            <w:pPr>
              <w:spacing w:after="160" w:line="259" w:lineRule="auto"/>
            </w:pPr>
            <w:r>
              <w:t>2018</w:t>
            </w:r>
          </w:p>
        </w:tc>
        <w:tc>
          <w:tcPr>
            <w:tcW w:w="1107" w:type="dxa"/>
            <w:tcBorders>
              <w:top w:val="outset" w:color="auto" w:sz="6" w:space="0"/>
              <w:left w:val="outset" w:color="auto" w:sz="6" w:space="0"/>
              <w:bottom w:val="outset" w:color="auto" w:sz="6" w:space="0"/>
              <w:right w:val="outset" w:color="auto" w:sz="6" w:space="0"/>
            </w:tcBorders>
          </w:tcPr>
          <w:p w14:paraId="3E924DA0">
            <w:pPr>
              <w:spacing w:after="160" w:line="259" w:lineRule="auto"/>
            </w:pPr>
            <w:r>
              <w:t>2019</w:t>
            </w:r>
          </w:p>
        </w:tc>
        <w:tc>
          <w:tcPr>
            <w:tcW w:w="1107" w:type="dxa"/>
            <w:tcBorders>
              <w:top w:val="outset" w:color="auto" w:sz="6" w:space="0"/>
              <w:left w:val="outset" w:color="auto" w:sz="6" w:space="0"/>
              <w:bottom w:val="outset" w:color="auto" w:sz="6" w:space="0"/>
              <w:right w:val="outset" w:color="auto" w:sz="6" w:space="0"/>
            </w:tcBorders>
          </w:tcPr>
          <w:p w14:paraId="73B91CB6">
            <w:pPr>
              <w:spacing w:after="160" w:line="259" w:lineRule="auto"/>
            </w:pPr>
            <w:r>
              <w:t>2020</w:t>
            </w:r>
          </w:p>
        </w:tc>
        <w:tc>
          <w:tcPr>
            <w:tcW w:w="1008" w:type="dxa"/>
            <w:tcBorders>
              <w:top w:val="outset" w:color="auto" w:sz="6" w:space="0"/>
              <w:left w:val="outset" w:color="auto" w:sz="6" w:space="0"/>
              <w:bottom w:val="outset" w:color="auto" w:sz="6" w:space="0"/>
              <w:right w:val="outset" w:color="auto" w:sz="6" w:space="0"/>
            </w:tcBorders>
          </w:tcPr>
          <w:p w14:paraId="313DD6FD">
            <w:pPr>
              <w:spacing w:after="160" w:line="259" w:lineRule="auto"/>
            </w:pPr>
            <w:r>
              <w:t>2021</w:t>
            </w:r>
          </w:p>
        </w:tc>
        <w:tc>
          <w:tcPr>
            <w:tcW w:w="984" w:type="dxa"/>
            <w:gridSpan w:val="2"/>
            <w:tcBorders>
              <w:top w:val="outset" w:color="auto" w:sz="6" w:space="0"/>
              <w:left w:val="outset" w:color="auto" w:sz="6" w:space="0"/>
              <w:bottom w:val="outset" w:color="auto" w:sz="6" w:space="0"/>
              <w:right w:val="outset" w:color="auto" w:sz="6" w:space="0"/>
            </w:tcBorders>
          </w:tcPr>
          <w:p w14:paraId="6CCE02D1">
            <w:pPr>
              <w:spacing w:after="160" w:line="259" w:lineRule="auto"/>
            </w:pPr>
            <w:r>
              <w:t>2022</w:t>
            </w:r>
          </w:p>
        </w:tc>
        <w:tc>
          <w:tcPr>
            <w:tcW w:w="984" w:type="dxa"/>
            <w:tcBorders>
              <w:top w:val="outset" w:color="auto" w:sz="6" w:space="0"/>
              <w:left w:val="outset" w:color="auto" w:sz="6" w:space="0"/>
              <w:bottom w:val="outset" w:color="auto" w:sz="6" w:space="0"/>
              <w:right w:val="outset" w:color="auto" w:sz="6" w:space="0"/>
            </w:tcBorders>
          </w:tcPr>
          <w:p w14:paraId="2554400E">
            <w:pPr>
              <w:spacing w:after="160" w:line="259" w:lineRule="auto"/>
              <w:rPr>
                <w:rFonts w:hint="default"/>
                <w:lang w:val="pt-BR"/>
              </w:rPr>
            </w:pPr>
            <w:r>
              <w:rPr>
                <w:rFonts w:hint="default"/>
                <w:lang w:val="pt-BR"/>
              </w:rPr>
              <w:t>2023</w:t>
            </w:r>
          </w:p>
        </w:tc>
      </w:tr>
      <w:tr w14:paraId="66CB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 w:type="dxa"/>
          <w:jc w:val="center"/>
        </w:trPr>
        <w:tc>
          <w:tcPr>
            <w:tcW w:w="1482" w:type="dxa"/>
            <w:tcBorders>
              <w:top w:val="nil"/>
              <w:left w:val="outset" w:color="auto" w:sz="6" w:space="0"/>
              <w:bottom w:val="outset" w:color="auto" w:sz="6" w:space="0"/>
              <w:right w:val="outset" w:color="auto" w:sz="6" w:space="0"/>
            </w:tcBorders>
          </w:tcPr>
          <w:p w14:paraId="4FA901AF">
            <w:pPr>
              <w:spacing w:after="160" w:line="259" w:lineRule="auto"/>
            </w:pPr>
            <w:r>
              <w:t>Indicador 3</w:t>
            </w:r>
          </w:p>
        </w:tc>
        <w:tc>
          <w:tcPr>
            <w:tcW w:w="1279" w:type="dxa"/>
            <w:tcBorders>
              <w:top w:val="nil"/>
              <w:left w:val="outset" w:color="auto" w:sz="6" w:space="0"/>
              <w:bottom w:val="outset" w:color="auto" w:sz="6" w:space="0"/>
              <w:right w:val="outset" w:color="auto" w:sz="6" w:space="0"/>
            </w:tcBorders>
          </w:tcPr>
          <w:p w14:paraId="2033F5A1">
            <w:pPr>
              <w:spacing w:after="160" w:line="259" w:lineRule="auto"/>
            </w:pPr>
            <w:r>
              <w:t>58,9%</w:t>
            </w:r>
          </w:p>
        </w:tc>
        <w:tc>
          <w:tcPr>
            <w:tcW w:w="1279" w:type="dxa"/>
            <w:tcBorders>
              <w:top w:val="nil"/>
              <w:left w:val="outset" w:color="auto" w:sz="6" w:space="0"/>
              <w:bottom w:val="outset" w:color="auto" w:sz="6" w:space="0"/>
              <w:right w:val="outset" w:color="auto" w:sz="6" w:space="0"/>
            </w:tcBorders>
          </w:tcPr>
          <w:p w14:paraId="63B97F38">
            <w:pPr>
              <w:spacing w:after="160" w:line="259" w:lineRule="auto"/>
            </w:pPr>
            <w:r>
              <w:t>72,4%</w:t>
            </w:r>
          </w:p>
        </w:tc>
        <w:tc>
          <w:tcPr>
            <w:tcW w:w="1279" w:type="dxa"/>
            <w:tcBorders>
              <w:top w:val="nil"/>
              <w:left w:val="outset" w:color="auto" w:sz="6" w:space="0"/>
              <w:bottom w:val="outset" w:color="auto" w:sz="6" w:space="0"/>
              <w:right w:val="outset" w:color="auto" w:sz="6" w:space="0"/>
            </w:tcBorders>
          </w:tcPr>
          <w:p w14:paraId="19AE10C4">
            <w:pPr>
              <w:spacing w:after="160" w:line="259" w:lineRule="auto"/>
            </w:pPr>
            <w:r>
              <w:t>76,5%</w:t>
            </w:r>
          </w:p>
        </w:tc>
        <w:tc>
          <w:tcPr>
            <w:tcW w:w="1279" w:type="dxa"/>
            <w:tcBorders>
              <w:top w:val="nil"/>
              <w:left w:val="outset" w:color="auto" w:sz="6" w:space="0"/>
              <w:bottom w:val="outset" w:color="auto" w:sz="6" w:space="0"/>
              <w:right w:val="outset" w:color="auto" w:sz="6" w:space="0"/>
            </w:tcBorders>
          </w:tcPr>
          <w:p w14:paraId="514B0FFD">
            <w:pPr>
              <w:spacing w:after="160" w:line="259" w:lineRule="auto"/>
            </w:pPr>
            <w:r>
              <w:t>79,9%</w:t>
            </w:r>
          </w:p>
        </w:tc>
        <w:tc>
          <w:tcPr>
            <w:tcW w:w="1242" w:type="dxa"/>
            <w:tcBorders>
              <w:top w:val="nil"/>
              <w:left w:val="outset" w:color="auto" w:sz="6" w:space="0"/>
              <w:bottom w:val="outset" w:color="auto" w:sz="6" w:space="0"/>
              <w:right w:val="outset" w:color="auto" w:sz="6" w:space="0"/>
            </w:tcBorders>
          </w:tcPr>
          <w:p w14:paraId="639CFB3F">
            <w:pPr>
              <w:spacing w:after="160" w:line="259" w:lineRule="auto"/>
            </w:pPr>
            <w:r>
              <w:t>87,0%</w:t>
            </w:r>
          </w:p>
        </w:tc>
        <w:tc>
          <w:tcPr>
            <w:tcW w:w="1107" w:type="dxa"/>
            <w:tcBorders>
              <w:top w:val="nil"/>
              <w:left w:val="outset" w:color="auto" w:sz="6" w:space="0"/>
              <w:bottom w:val="outset" w:color="auto" w:sz="6" w:space="0"/>
              <w:right w:val="outset" w:color="auto" w:sz="6" w:space="0"/>
            </w:tcBorders>
          </w:tcPr>
          <w:p w14:paraId="4C244B57">
            <w:pPr>
              <w:spacing w:after="160" w:line="259" w:lineRule="auto"/>
            </w:pPr>
            <w:r>
              <w:t>88,3%</w:t>
            </w:r>
          </w:p>
        </w:tc>
        <w:tc>
          <w:tcPr>
            <w:tcW w:w="1107" w:type="dxa"/>
            <w:tcBorders>
              <w:top w:val="nil"/>
              <w:left w:val="outset" w:color="auto" w:sz="6" w:space="0"/>
              <w:bottom w:val="outset" w:color="auto" w:sz="6" w:space="0"/>
              <w:right w:val="outset" w:color="auto" w:sz="6" w:space="0"/>
            </w:tcBorders>
          </w:tcPr>
          <w:p w14:paraId="2EFBE1D0">
            <w:pPr>
              <w:spacing w:after="160" w:line="259" w:lineRule="auto"/>
            </w:pPr>
            <w:r>
              <w:t>84,1%</w:t>
            </w:r>
          </w:p>
        </w:tc>
        <w:tc>
          <w:tcPr>
            <w:tcW w:w="1008" w:type="dxa"/>
            <w:tcBorders>
              <w:top w:val="nil"/>
              <w:left w:val="outset" w:color="auto" w:sz="6" w:space="0"/>
              <w:bottom w:val="outset" w:color="auto" w:sz="6" w:space="0"/>
              <w:right w:val="outset" w:color="auto" w:sz="6" w:space="0"/>
            </w:tcBorders>
          </w:tcPr>
          <w:p w14:paraId="3533F311">
            <w:pPr>
              <w:spacing w:after="160" w:line="259" w:lineRule="auto"/>
            </w:pPr>
            <w:r>
              <w:t>85,6%</w:t>
            </w:r>
          </w:p>
        </w:tc>
        <w:tc>
          <w:tcPr>
            <w:tcW w:w="984" w:type="dxa"/>
            <w:gridSpan w:val="2"/>
            <w:tcBorders>
              <w:top w:val="nil"/>
              <w:left w:val="outset" w:color="auto" w:sz="6" w:space="0"/>
              <w:bottom w:val="outset" w:color="auto" w:sz="6" w:space="0"/>
              <w:right w:val="outset" w:color="auto" w:sz="6" w:space="0"/>
            </w:tcBorders>
          </w:tcPr>
          <w:p w14:paraId="31D4398D">
            <w:pPr>
              <w:spacing w:after="160" w:line="259" w:lineRule="auto"/>
            </w:pPr>
            <w:r>
              <w:t>87,0%</w:t>
            </w:r>
          </w:p>
        </w:tc>
        <w:tc>
          <w:tcPr>
            <w:tcW w:w="984" w:type="dxa"/>
            <w:tcBorders>
              <w:top w:val="nil"/>
              <w:left w:val="outset" w:color="auto" w:sz="6" w:space="0"/>
              <w:bottom w:val="outset" w:color="auto" w:sz="6" w:space="0"/>
              <w:right w:val="outset" w:color="auto" w:sz="6" w:space="0"/>
            </w:tcBorders>
          </w:tcPr>
          <w:p w14:paraId="217E47D8">
            <w:pPr>
              <w:spacing w:after="160" w:line="259" w:lineRule="auto"/>
              <w:rPr>
                <w:rFonts w:hint="default"/>
                <w:lang w:val="pt-BR"/>
              </w:rPr>
            </w:pPr>
            <w:r>
              <w:rPr>
                <w:rFonts w:hint="default"/>
                <w:lang w:val="pt-BR"/>
              </w:rPr>
              <w:t>80,7%</w:t>
            </w:r>
          </w:p>
        </w:tc>
      </w:tr>
      <w:tr w14:paraId="5420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13030" w:type="dxa"/>
            <w:gridSpan w:val="12"/>
          </w:tcPr>
          <w:p w14:paraId="5F2E9854">
            <w:pPr>
              <w:jc w:val="center"/>
              <w:rPr>
                <w:rFonts w:hint="default"/>
                <w:vertAlign w:val="baseline"/>
                <w:lang w:val="pt-BR"/>
              </w:rPr>
            </w:pPr>
            <w:r>
              <w:rPr>
                <w:rFonts w:hint="default"/>
                <w:vertAlign w:val="baseline"/>
                <w:lang w:val="pt-BR"/>
              </w:rPr>
              <w:t>Fonte: INEP - Censo Escolar da Educação Básica</w:t>
            </w:r>
          </w:p>
        </w:tc>
      </w:tr>
    </w:tbl>
    <w:p w14:paraId="56D375DB"/>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7"/>
        <w:gridCol w:w="8219"/>
      </w:tblGrid>
      <w:tr w14:paraId="330F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2"/>
          </w:tcPr>
          <w:p w14:paraId="3D5017D4">
            <w:pPr>
              <w:jc w:val="center"/>
              <w:rPr>
                <w:rFonts w:hint="default"/>
                <w:b/>
                <w:bCs/>
                <w:vertAlign w:val="baseline"/>
                <w:lang w:val="pt-BR"/>
              </w:rPr>
            </w:pPr>
            <w:r>
              <w:rPr>
                <w:rFonts w:hint="default"/>
                <w:b/>
                <w:bCs/>
                <w:vertAlign w:val="baseline"/>
                <w:lang w:val="pt-BR"/>
              </w:rPr>
              <w:t>Ficha metodológica para o indicador 15D - base PNE</w:t>
            </w:r>
          </w:p>
        </w:tc>
      </w:tr>
      <w:tr w14:paraId="300B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outset" w:color="auto" w:sz="6" w:space="0"/>
              <w:left w:val="outset" w:color="auto" w:sz="6" w:space="0"/>
              <w:bottom w:val="outset" w:color="auto" w:sz="6" w:space="0"/>
              <w:right w:val="outset" w:color="auto" w:sz="6" w:space="0"/>
            </w:tcBorders>
          </w:tcPr>
          <w:p w14:paraId="0ADD45AF">
            <w:pPr>
              <w:spacing w:after="160" w:line="259" w:lineRule="auto"/>
              <w:rPr>
                <w:b/>
              </w:rPr>
            </w:pPr>
            <w:r>
              <w:rPr>
                <w:b/>
              </w:rPr>
              <w:t>Meta</w:t>
            </w:r>
          </w:p>
        </w:tc>
        <w:tc>
          <w:tcPr>
            <w:tcW w:w="8219" w:type="dxa"/>
            <w:tcBorders>
              <w:top w:val="outset" w:color="auto" w:sz="6" w:space="0"/>
              <w:left w:val="outset" w:color="auto" w:sz="6" w:space="0"/>
              <w:bottom w:val="outset" w:color="auto" w:sz="6" w:space="0"/>
              <w:right w:val="outset" w:color="auto" w:sz="6" w:space="0"/>
            </w:tcBorders>
          </w:tcPr>
          <w:p w14:paraId="4C86E442">
            <w:pPr>
              <w:spacing w:after="160" w:line="259" w:lineRule="auto"/>
              <w:rPr>
                <w:b/>
              </w:rPr>
            </w:pPr>
            <w:r>
              <w:rPr>
                <w:b/>
              </w:rPr>
              <w:t>Texto da meta</w:t>
            </w:r>
          </w:p>
        </w:tc>
      </w:tr>
      <w:tr w14:paraId="6ED8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nil"/>
              <w:left w:val="outset" w:color="auto" w:sz="6" w:space="0"/>
              <w:bottom w:val="outset" w:color="auto" w:sz="6" w:space="0"/>
              <w:right w:val="outset" w:color="auto" w:sz="6" w:space="0"/>
            </w:tcBorders>
          </w:tcPr>
          <w:p w14:paraId="0B726514">
            <w:pPr>
              <w:spacing w:after="160" w:line="259" w:lineRule="auto"/>
            </w:pPr>
            <w:r>
              <w:t>15</w:t>
            </w:r>
          </w:p>
          <w:p w14:paraId="1B4DCB66">
            <w:pPr>
              <w:spacing w:after="160" w:line="259" w:lineRule="auto"/>
            </w:pPr>
          </w:p>
          <w:p w14:paraId="7C411EE9">
            <w:pPr>
              <w:spacing w:after="160" w:line="259" w:lineRule="auto"/>
            </w:pPr>
          </w:p>
          <w:p w14:paraId="72F282D4">
            <w:pPr>
              <w:spacing w:after="160" w:line="259" w:lineRule="auto"/>
            </w:pPr>
          </w:p>
        </w:tc>
        <w:tc>
          <w:tcPr>
            <w:tcW w:w="8219" w:type="dxa"/>
            <w:tcBorders>
              <w:top w:val="nil"/>
              <w:left w:val="outset" w:color="auto" w:sz="6" w:space="0"/>
              <w:bottom w:val="outset" w:color="auto" w:sz="6" w:space="0"/>
              <w:right w:val="outset" w:color="auto" w:sz="6" w:space="0"/>
            </w:tcBorders>
          </w:tcPr>
          <w:p w14:paraId="0BBBCF1A">
            <w:pPr>
              <w:spacing w:after="160" w:line="259" w:lineRule="auto"/>
              <w:jc w:val="both"/>
              <w:rPr>
                <w:i/>
              </w:rPr>
            </w:pPr>
            <w:r>
              <w:rPr>
                <w:bCs/>
              </w:rPr>
              <w:t>Garantir, em regime de colaboração entre a União, o Estado e o Município, no prazo de 1 (um) ano de vigência deste PME, política municipal de formação dos profissionais da educação de que tratam os incisos I, II e III do caput do art. 61 da Lei no 9.394, de 20 de dezembro de 1996, assegurado que todos os professores e as professoras da educação básica possuam formação específica de nível superior, obtida em curso de licenciatura na área de conhecimento em que atuam.</w:t>
            </w:r>
          </w:p>
        </w:tc>
      </w:tr>
      <w:tr w14:paraId="21F5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outset" w:color="auto" w:sz="6" w:space="0"/>
              <w:left w:val="outset" w:color="auto" w:sz="6" w:space="0"/>
              <w:bottom w:val="outset" w:color="auto" w:sz="6" w:space="0"/>
              <w:right w:val="outset" w:color="auto" w:sz="6" w:space="0"/>
            </w:tcBorders>
          </w:tcPr>
          <w:p w14:paraId="5EFE5F6B">
            <w:pPr>
              <w:spacing w:after="160" w:line="259" w:lineRule="auto"/>
            </w:pPr>
            <w:r>
              <w:t>Indicador 4</w:t>
            </w:r>
          </w:p>
        </w:tc>
        <w:tc>
          <w:tcPr>
            <w:tcW w:w="8219" w:type="dxa"/>
            <w:tcBorders>
              <w:top w:val="outset" w:color="auto" w:sz="6" w:space="0"/>
              <w:left w:val="outset" w:color="auto" w:sz="6" w:space="0"/>
              <w:bottom w:val="outset" w:color="auto" w:sz="6" w:space="0"/>
              <w:right w:val="outset" w:color="auto" w:sz="6" w:space="0"/>
            </w:tcBorders>
          </w:tcPr>
          <w:p w14:paraId="5293F173">
            <w:pPr>
              <w:spacing w:after="160" w:line="259" w:lineRule="auto"/>
              <w:jc w:val="both"/>
            </w:pPr>
            <w:r>
              <w:t>Proporção de docências do ensino médio com professores cuja formação superior está adequada à área de conhecimento que lecionam.</w:t>
            </w:r>
          </w:p>
        </w:tc>
      </w:tr>
      <w:tr w14:paraId="0756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nil"/>
              <w:left w:val="outset" w:color="auto" w:sz="6" w:space="0"/>
              <w:bottom w:val="outset" w:color="auto" w:sz="6" w:space="0"/>
              <w:right w:val="outset" w:color="auto" w:sz="6" w:space="0"/>
            </w:tcBorders>
          </w:tcPr>
          <w:p w14:paraId="16F1E200">
            <w:pPr>
              <w:spacing w:after="160" w:line="259" w:lineRule="auto"/>
            </w:pPr>
            <w:r>
              <w:t>Fórmula de cálculo</w:t>
            </w:r>
          </w:p>
        </w:tc>
        <w:tc>
          <w:tcPr>
            <w:tcW w:w="8219" w:type="dxa"/>
            <w:tcBorders>
              <w:top w:val="nil"/>
              <w:left w:val="outset" w:color="auto" w:sz="6" w:space="0"/>
              <w:bottom w:val="outset" w:color="auto" w:sz="6" w:space="0"/>
              <w:right w:val="outset" w:color="auto" w:sz="6" w:space="0"/>
            </w:tcBorders>
          </w:tcPr>
          <w:p w14:paraId="58865C08">
            <w:pPr>
              <w:spacing w:after="160" w:line="259" w:lineRule="auto"/>
              <w:jc w:val="both"/>
            </w:pPr>
            <w:r>
              <w:t>(Quantidade de docências do ensino médio com professores cuja formação superior está adequada à área de conhecimento que lecionam / Quantidade total de docências do ensino médio) x 100</w:t>
            </w:r>
          </w:p>
        </w:tc>
      </w:tr>
      <w:tr w14:paraId="3A20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817" w:type="dxa"/>
            <w:tcBorders>
              <w:top w:val="nil"/>
              <w:left w:val="outset" w:color="auto" w:sz="6" w:space="0"/>
              <w:bottom w:val="outset" w:color="auto" w:sz="6" w:space="0"/>
              <w:right w:val="outset" w:color="auto" w:sz="6" w:space="0"/>
            </w:tcBorders>
          </w:tcPr>
          <w:p w14:paraId="4E1355C0">
            <w:pPr>
              <w:spacing w:after="160" w:line="259" w:lineRule="auto"/>
            </w:pPr>
            <w:r>
              <w:t>Comentário</w:t>
            </w:r>
          </w:p>
        </w:tc>
        <w:tc>
          <w:tcPr>
            <w:tcW w:w="8219" w:type="dxa"/>
            <w:tcBorders>
              <w:top w:val="nil"/>
              <w:left w:val="outset" w:color="auto" w:sz="6" w:space="0"/>
              <w:bottom w:val="outset" w:color="auto" w:sz="6" w:space="0"/>
              <w:right w:val="outset" w:color="auto" w:sz="6" w:space="0"/>
            </w:tcBorders>
          </w:tcPr>
          <w:p w14:paraId="292B4322">
            <w:pPr>
              <w:spacing w:after="160" w:line="259" w:lineRule="auto"/>
              <w:jc w:val="both"/>
            </w:pPr>
            <w:r>
              <w:t>Calculado conforme Relatório do 3º Ciclo de Monitoramento das Metas do Plano Nacional de Educação - 2020 (INEP).</w:t>
            </w:r>
          </w:p>
        </w:tc>
      </w:tr>
    </w:tbl>
    <w:p w14:paraId="181E5D6E">
      <w:r>
        <w:t xml:space="preserve"> </w:t>
      </w:r>
    </w:p>
    <w:tbl>
      <w:tblPr>
        <w:tblStyle w:val="9"/>
        <w:tblW w:w="13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
        <w:gridCol w:w="1501"/>
        <w:gridCol w:w="1295"/>
        <w:gridCol w:w="1295"/>
        <w:gridCol w:w="1295"/>
        <w:gridCol w:w="1295"/>
        <w:gridCol w:w="1257"/>
        <w:gridCol w:w="1121"/>
        <w:gridCol w:w="1121"/>
        <w:gridCol w:w="1023"/>
        <w:gridCol w:w="996"/>
        <w:gridCol w:w="9"/>
        <w:gridCol w:w="996"/>
        <w:gridCol w:w="9"/>
      </w:tblGrid>
      <w:tr w14:paraId="314D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1" w:type="dxa"/>
            <w:gridSpan w:val="10"/>
          </w:tcPr>
          <w:p w14:paraId="3A0C837B">
            <w:pPr>
              <w:jc w:val="center"/>
              <w:rPr>
                <w:rFonts w:hint="default"/>
                <w:b/>
                <w:bCs/>
                <w:vertAlign w:val="baseline"/>
                <w:lang w:val="pt-BR"/>
              </w:rPr>
            </w:pPr>
            <w:r>
              <w:rPr>
                <w:rFonts w:hint="default"/>
                <w:b/>
                <w:bCs/>
                <w:vertAlign w:val="baseline"/>
                <w:lang w:val="pt-BR"/>
              </w:rPr>
              <w:t>Dados/Indicadores: Indicador 15C</w:t>
            </w:r>
          </w:p>
        </w:tc>
        <w:tc>
          <w:tcPr>
            <w:tcW w:w="1005" w:type="dxa"/>
            <w:gridSpan w:val="2"/>
          </w:tcPr>
          <w:p w14:paraId="7AB48A61">
            <w:pPr>
              <w:jc w:val="center"/>
              <w:rPr>
                <w:rFonts w:hint="default"/>
                <w:b/>
                <w:bCs/>
                <w:vertAlign w:val="baseline"/>
                <w:lang w:val="pt-BR"/>
              </w:rPr>
            </w:pPr>
          </w:p>
        </w:tc>
        <w:tc>
          <w:tcPr>
            <w:tcW w:w="1005" w:type="dxa"/>
            <w:gridSpan w:val="2"/>
          </w:tcPr>
          <w:p w14:paraId="4C5A464B">
            <w:pPr>
              <w:jc w:val="center"/>
              <w:rPr>
                <w:rFonts w:hint="default"/>
                <w:b/>
                <w:bCs/>
                <w:vertAlign w:val="baseline"/>
                <w:lang w:val="pt-BR"/>
              </w:rPr>
            </w:pPr>
          </w:p>
        </w:tc>
      </w:tr>
      <w:tr w14:paraId="12D8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8" w:type="dxa"/>
          <w:wAfter w:w="9" w:type="dxa"/>
          <w:jc w:val="center"/>
        </w:trPr>
        <w:tc>
          <w:tcPr>
            <w:tcW w:w="1501" w:type="dxa"/>
            <w:tcBorders>
              <w:top w:val="nil"/>
              <w:left w:val="outset" w:color="auto" w:sz="6" w:space="0"/>
              <w:bottom w:val="outset" w:color="auto" w:sz="6" w:space="0"/>
              <w:right w:val="outset" w:color="auto" w:sz="6" w:space="0"/>
            </w:tcBorders>
          </w:tcPr>
          <w:p w14:paraId="4BB42FA1">
            <w:pPr>
              <w:spacing w:after="160" w:line="259" w:lineRule="auto"/>
              <w:rPr>
                <w:rFonts w:hint="default"/>
                <w:lang w:val="pt-BR"/>
              </w:rPr>
            </w:pPr>
            <w:r>
              <w:rPr>
                <w:rFonts w:hint="default"/>
                <w:lang w:val="pt-BR"/>
              </w:rPr>
              <w:t>Ano</w:t>
            </w:r>
          </w:p>
        </w:tc>
        <w:tc>
          <w:tcPr>
            <w:tcW w:w="1295" w:type="dxa"/>
            <w:tcBorders>
              <w:top w:val="nil"/>
              <w:left w:val="outset" w:color="auto" w:sz="6" w:space="0"/>
              <w:bottom w:val="outset" w:color="auto" w:sz="6" w:space="0"/>
              <w:right w:val="outset" w:color="auto" w:sz="6" w:space="0"/>
            </w:tcBorders>
          </w:tcPr>
          <w:p w14:paraId="31DAFE7D">
            <w:pPr>
              <w:spacing w:after="160" w:line="259" w:lineRule="auto"/>
              <w:rPr>
                <w:rFonts w:hint="default"/>
                <w:lang w:val="pt-BR"/>
              </w:rPr>
            </w:pPr>
            <w:r>
              <w:rPr>
                <w:rFonts w:hint="default"/>
                <w:lang w:val="pt-BR"/>
              </w:rPr>
              <w:t>2014</w:t>
            </w:r>
          </w:p>
        </w:tc>
        <w:tc>
          <w:tcPr>
            <w:tcW w:w="1295" w:type="dxa"/>
            <w:tcBorders>
              <w:top w:val="nil"/>
              <w:left w:val="outset" w:color="auto" w:sz="6" w:space="0"/>
              <w:bottom w:val="outset" w:color="auto" w:sz="6" w:space="0"/>
              <w:right w:val="outset" w:color="auto" w:sz="6" w:space="0"/>
            </w:tcBorders>
          </w:tcPr>
          <w:p w14:paraId="5F9A997E">
            <w:pPr>
              <w:spacing w:after="160" w:line="259" w:lineRule="auto"/>
              <w:rPr>
                <w:rFonts w:hint="default"/>
                <w:lang w:val="pt-BR"/>
              </w:rPr>
            </w:pPr>
            <w:r>
              <w:rPr>
                <w:rFonts w:hint="default"/>
                <w:lang w:val="pt-BR"/>
              </w:rPr>
              <w:t>2015</w:t>
            </w:r>
          </w:p>
        </w:tc>
        <w:tc>
          <w:tcPr>
            <w:tcW w:w="1295" w:type="dxa"/>
            <w:tcBorders>
              <w:top w:val="nil"/>
              <w:left w:val="outset" w:color="auto" w:sz="6" w:space="0"/>
              <w:bottom w:val="outset" w:color="auto" w:sz="6" w:space="0"/>
              <w:right w:val="outset" w:color="auto" w:sz="6" w:space="0"/>
            </w:tcBorders>
          </w:tcPr>
          <w:p w14:paraId="14D79D30">
            <w:pPr>
              <w:spacing w:after="160" w:line="259" w:lineRule="auto"/>
              <w:rPr>
                <w:rFonts w:hint="default"/>
                <w:lang w:val="pt-BR"/>
              </w:rPr>
            </w:pPr>
            <w:r>
              <w:rPr>
                <w:rFonts w:hint="default"/>
                <w:lang w:val="pt-BR"/>
              </w:rPr>
              <w:t>2016</w:t>
            </w:r>
          </w:p>
        </w:tc>
        <w:tc>
          <w:tcPr>
            <w:tcW w:w="1295" w:type="dxa"/>
            <w:tcBorders>
              <w:top w:val="nil"/>
              <w:left w:val="outset" w:color="auto" w:sz="6" w:space="0"/>
              <w:bottom w:val="outset" w:color="auto" w:sz="6" w:space="0"/>
              <w:right w:val="outset" w:color="auto" w:sz="6" w:space="0"/>
            </w:tcBorders>
          </w:tcPr>
          <w:p w14:paraId="79BFB867">
            <w:pPr>
              <w:spacing w:after="160" w:line="259" w:lineRule="auto"/>
              <w:rPr>
                <w:rFonts w:hint="default"/>
                <w:lang w:val="pt-BR"/>
              </w:rPr>
            </w:pPr>
            <w:r>
              <w:rPr>
                <w:rFonts w:hint="default"/>
                <w:lang w:val="pt-BR"/>
              </w:rPr>
              <w:t>2017</w:t>
            </w:r>
          </w:p>
        </w:tc>
        <w:tc>
          <w:tcPr>
            <w:tcW w:w="1257" w:type="dxa"/>
            <w:tcBorders>
              <w:top w:val="nil"/>
              <w:left w:val="outset" w:color="auto" w:sz="6" w:space="0"/>
              <w:bottom w:val="outset" w:color="auto" w:sz="6" w:space="0"/>
              <w:right w:val="outset" w:color="auto" w:sz="6" w:space="0"/>
            </w:tcBorders>
          </w:tcPr>
          <w:p w14:paraId="629CB677">
            <w:pPr>
              <w:spacing w:after="160" w:line="259" w:lineRule="auto"/>
              <w:rPr>
                <w:rFonts w:hint="default"/>
                <w:lang w:val="pt-BR"/>
              </w:rPr>
            </w:pPr>
            <w:r>
              <w:rPr>
                <w:rFonts w:hint="default"/>
                <w:lang w:val="pt-BR"/>
              </w:rPr>
              <w:t>2018</w:t>
            </w:r>
          </w:p>
        </w:tc>
        <w:tc>
          <w:tcPr>
            <w:tcW w:w="1121" w:type="dxa"/>
            <w:tcBorders>
              <w:top w:val="nil"/>
              <w:left w:val="outset" w:color="auto" w:sz="6" w:space="0"/>
              <w:bottom w:val="outset" w:color="auto" w:sz="6" w:space="0"/>
              <w:right w:val="outset" w:color="auto" w:sz="6" w:space="0"/>
            </w:tcBorders>
          </w:tcPr>
          <w:p w14:paraId="1FD684DE">
            <w:pPr>
              <w:spacing w:after="160" w:line="259" w:lineRule="auto"/>
              <w:rPr>
                <w:rFonts w:hint="default"/>
                <w:lang w:val="pt-BR"/>
              </w:rPr>
            </w:pPr>
            <w:r>
              <w:rPr>
                <w:rFonts w:hint="default"/>
                <w:lang w:val="pt-BR"/>
              </w:rPr>
              <w:t>2019</w:t>
            </w:r>
          </w:p>
        </w:tc>
        <w:tc>
          <w:tcPr>
            <w:tcW w:w="1121" w:type="dxa"/>
            <w:tcBorders>
              <w:top w:val="nil"/>
              <w:left w:val="outset" w:color="auto" w:sz="6" w:space="0"/>
              <w:bottom w:val="outset" w:color="auto" w:sz="6" w:space="0"/>
              <w:right w:val="outset" w:color="auto" w:sz="6" w:space="0"/>
            </w:tcBorders>
          </w:tcPr>
          <w:p w14:paraId="4ECFEDE9">
            <w:pPr>
              <w:spacing w:after="160" w:line="259" w:lineRule="auto"/>
              <w:rPr>
                <w:rFonts w:hint="default"/>
                <w:lang w:val="pt-BR"/>
              </w:rPr>
            </w:pPr>
            <w:r>
              <w:rPr>
                <w:rFonts w:hint="default"/>
                <w:lang w:val="pt-BR"/>
              </w:rPr>
              <w:t>2020</w:t>
            </w:r>
          </w:p>
        </w:tc>
        <w:tc>
          <w:tcPr>
            <w:tcW w:w="1023" w:type="dxa"/>
            <w:tcBorders>
              <w:top w:val="nil"/>
              <w:left w:val="outset" w:color="auto" w:sz="6" w:space="0"/>
              <w:bottom w:val="outset" w:color="auto" w:sz="6" w:space="0"/>
              <w:right w:val="outset" w:color="auto" w:sz="6" w:space="0"/>
            </w:tcBorders>
          </w:tcPr>
          <w:p w14:paraId="06F0B904">
            <w:pPr>
              <w:spacing w:after="160" w:line="259" w:lineRule="auto"/>
              <w:rPr>
                <w:rFonts w:hint="default"/>
                <w:lang w:val="pt-BR"/>
              </w:rPr>
            </w:pPr>
            <w:r>
              <w:rPr>
                <w:rFonts w:hint="default"/>
                <w:lang w:val="pt-BR"/>
              </w:rPr>
              <w:t>2021</w:t>
            </w:r>
          </w:p>
        </w:tc>
        <w:tc>
          <w:tcPr>
            <w:tcW w:w="996" w:type="dxa"/>
            <w:tcBorders>
              <w:top w:val="nil"/>
              <w:left w:val="outset" w:color="auto" w:sz="6" w:space="0"/>
              <w:bottom w:val="outset" w:color="auto" w:sz="6" w:space="0"/>
              <w:right w:val="outset" w:color="auto" w:sz="6" w:space="0"/>
            </w:tcBorders>
          </w:tcPr>
          <w:p w14:paraId="478A9519">
            <w:pPr>
              <w:spacing w:after="160" w:line="259" w:lineRule="auto"/>
              <w:rPr>
                <w:rFonts w:hint="default"/>
                <w:lang w:val="pt-BR"/>
              </w:rPr>
            </w:pPr>
            <w:r>
              <w:rPr>
                <w:rFonts w:hint="default"/>
                <w:lang w:val="pt-BR"/>
              </w:rPr>
              <w:t>2022</w:t>
            </w:r>
          </w:p>
        </w:tc>
        <w:tc>
          <w:tcPr>
            <w:tcW w:w="1005" w:type="dxa"/>
            <w:gridSpan w:val="2"/>
            <w:tcBorders>
              <w:top w:val="nil"/>
              <w:left w:val="outset" w:color="auto" w:sz="6" w:space="0"/>
              <w:bottom w:val="outset" w:color="auto" w:sz="6" w:space="0"/>
              <w:right w:val="outset" w:color="auto" w:sz="6" w:space="0"/>
            </w:tcBorders>
          </w:tcPr>
          <w:p w14:paraId="2EAC1DFC">
            <w:pPr>
              <w:spacing w:after="160" w:line="259" w:lineRule="auto"/>
              <w:rPr>
                <w:rFonts w:hint="default"/>
                <w:lang w:val="pt-BR"/>
              </w:rPr>
            </w:pPr>
            <w:r>
              <w:rPr>
                <w:rFonts w:hint="default"/>
                <w:lang w:val="pt-BR"/>
              </w:rPr>
              <w:t>2023</w:t>
            </w:r>
          </w:p>
        </w:tc>
      </w:tr>
      <w:tr w14:paraId="0CB4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8" w:type="dxa"/>
          <w:wAfter w:w="9" w:type="dxa"/>
          <w:jc w:val="center"/>
        </w:trPr>
        <w:tc>
          <w:tcPr>
            <w:tcW w:w="1501" w:type="dxa"/>
            <w:tcBorders>
              <w:top w:val="nil"/>
              <w:left w:val="outset" w:color="auto" w:sz="6" w:space="0"/>
              <w:bottom w:val="outset" w:color="auto" w:sz="6" w:space="0"/>
              <w:right w:val="outset" w:color="auto" w:sz="6" w:space="0"/>
            </w:tcBorders>
          </w:tcPr>
          <w:p w14:paraId="68D8E4F0">
            <w:pPr>
              <w:spacing w:after="160" w:line="259" w:lineRule="auto"/>
            </w:pPr>
            <w:r>
              <w:t>Indicador 4</w:t>
            </w:r>
          </w:p>
        </w:tc>
        <w:tc>
          <w:tcPr>
            <w:tcW w:w="1295" w:type="dxa"/>
            <w:tcBorders>
              <w:top w:val="nil"/>
              <w:left w:val="outset" w:color="auto" w:sz="6" w:space="0"/>
              <w:bottom w:val="outset" w:color="auto" w:sz="6" w:space="0"/>
              <w:right w:val="outset" w:color="auto" w:sz="6" w:space="0"/>
            </w:tcBorders>
          </w:tcPr>
          <w:p w14:paraId="48480C8C">
            <w:pPr>
              <w:spacing w:after="160" w:line="259" w:lineRule="auto"/>
            </w:pPr>
            <w:r>
              <w:t>78,8%</w:t>
            </w:r>
          </w:p>
        </w:tc>
        <w:tc>
          <w:tcPr>
            <w:tcW w:w="1295" w:type="dxa"/>
            <w:tcBorders>
              <w:top w:val="nil"/>
              <w:left w:val="outset" w:color="auto" w:sz="6" w:space="0"/>
              <w:bottom w:val="outset" w:color="auto" w:sz="6" w:space="0"/>
              <w:right w:val="outset" w:color="auto" w:sz="6" w:space="0"/>
            </w:tcBorders>
          </w:tcPr>
          <w:p w14:paraId="698EE59C">
            <w:pPr>
              <w:spacing w:after="160" w:line="259" w:lineRule="auto"/>
            </w:pPr>
            <w:r>
              <w:t>87,5%</w:t>
            </w:r>
          </w:p>
        </w:tc>
        <w:tc>
          <w:tcPr>
            <w:tcW w:w="1295" w:type="dxa"/>
            <w:tcBorders>
              <w:top w:val="nil"/>
              <w:left w:val="outset" w:color="auto" w:sz="6" w:space="0"/>
              <w:bottom w:val="outset" w:color="auto" w:sz="6" w:space="0"/>
              <w:right w:val="outset" w:color="auto" w:sz="6" w:space="0"/>
            </w:tcBorders>
          </w:tcPr>
          <w:p w14:paraId="7FCA1759">
            <w:pPr>
              <w:spacing w:after="160" w:line="259" w:lineRule="auto"/>
            </w:pPr>
            <w:r>
              <w:t>80,6%</w:t>
            </w:r>
          </w:p>
        </w:tc>
        <w:tc>
          <w:tcPr>
            <w:tcW w:w="1295" w:type="dxa"/>
            <w:tcBorders>
              <w:top w:val="nil"/>
              <w:left w:val="outset" w:color="auto" w:sz="6" w:space="0"/>
              <w:bottom w:val="outset" w:color="auto" w:sz="6" w:space="0"/>
              <w:right w:val="outset" w:color="auto" w:sz="6" w:space="0"/>
            </w:tcBorders>
          </w:tcPr>
          <w:p w14:paraId="773A00D6">
            <w:pPr>
              <w:spacing w:after="160" w:line="259" w:lineRule="auto"/>
            </w:pPr>
            <w:r>
              <w:t>86,3%</w:t>
            </w:r>
          </w:p>
        </w:tc>
        <w:tc>
          <w:tcPr>
            <w:tcW w:w="1257" w:type="dxa"/>
            <w:tcBorders>
              <w:top w:val="nil"/>
              <w:left w:val="outset" w:color="auto" w:sz="6" w:space="0"/>
              <w:bottom w:val="outset" w:color="auto" w:sz="6" w:space="0"/>
              <w:right w:val="outset" w:color="auto" w:sz="6" w:space="0"/>
            </w:tcBorders>
          </w:tcPr>
          <w:p w14:paraId="3F63F5A3">
            <w:pPr>
              <w:spacing w:after="160" w:line="259" w:lineRule="auto"/>
            </w:pPr>
            <w:r>
              <w:t>79,8%</w:t>
            </w:r>
          </w:p>
        </w:tc>
        <w:tc>
          <w:tcPr>
            <w:tcW w:w="1121" w:type="dxa"/>
            <w:tcBorders>
              <w:top w:val="nil"/>
              <w:left w:val="outset" w:color="auto" w:sz="6" w:space="0"/>
              <w:bottom w:val="outset" w:color="auto" w:sz="6" w:space="0"/>
              <w:right w:val="outset" w:color="auto" w:sz="6" w:space="0"/>
            </w:tcBorders>
          </w:tcPr>
          <w:p w14:paraId="3AC52282">
            <w:pPr>
              <w:spacing w:after="160" w:line="259" w:lineRule="auto"/>
            </w:pPr>
            <w:r>
              <w:t>77,8%</w:t>
            </w:r>
          </w:p>
        </w:tc>
        <w:tc>
          <w:tcPr>
            <w:tcW w:w="1121" w:type="dxa"/>
            <w:tcBorders>
              <w:top w:val="nil"/>
              <w:left w:val="outset" w:color="auto" w:sz="6" w:space="0"/>
              <w:bottom w:val="outset" w:color="auto" w:sz="6" w:space="0"/>
              <w:right w:val="outset" w:color="auto" w:sz="6" w:space="0"/>
            </w:tcBorders>
          </w:tcPr>
          <w:p w14:paraId="03B705D9">
            <w:pPr>
              <w:spacing w:after="160" w:line="259" w:lineRule="auto"/>
            </w:pPr>
            <w:r>
              <w:t>67,3%</w:t>
            </w:r>
          </w:p>
        </w:tc>
        <w:tc>
          <w:tcPr>
            <w:tcW w:w="1023" w:type="dxa"/>
            <w:tcBorders>
              <w:top w:val="nil"/>
              <w:left w:val="outset" w:color="auto" w:sz="6" w:space="0"/>
              <w:bottom w:val="outset" w:color="auto" w:sz="6" w:space="0"/>
              <w:right w:val="outset" w:color="auto" w:sz="6" w:space="0"/>
            </w:tcBorders>
          </w:tcPr>
          <w:p w14:paraId="656DD992">
            <w:pPr>
              <w:spacing w:after="160" w:line="259" w:lineRule="auto"/>
            </w:pPr>
            <w:r>
              <w:t>85,8%</w:t>
            </w:r>
          </w:p>
        </w:tc>
        <w:tc>
          <w:tcPr>
            <w:tcW w:w="996" w:type="dxa"/>
            <w:tcBorders>
              <w:top w:val="nil"/>
              <w:left w:val="outset" w:color="auto" w:sz="6" w:space="0"/>
              <w:bottom w:val="outset" w:color="auto" w:sz="6" w:space="0"/>
              <w:right w:val="outset" w:color="auto" w:sz="6" w:space="0"/>
            </w:tcBorders>
          </w:tcPr>
          <w:p w14:paraId="318F3B81">
            <w:pPr>
              <w:spacing w:after="160" w:line="259" w:lineRule="auto"/>
            </w:pPr>
            <w:r>
              <w:t>82,9%</w:t>
            </w:r>
          </w:p>
        </w:tc>
        <w:tc>
          <w:tcPr>
            <w:tcW w:w="1005" w:type="dxa"/>
            <w:gridSpan w:val="2"/>
            <w:tcBorders>
              <w:top w:val="nil"/>
              <w:left w:val="outset" w:color="auto" w:sz="6" w:space="0"/>
              <w:bottom w:val="outset" w:color="auto" w:sz="6" w:space="0"/>
              <w:right w:val="outset" w:color="auto" w:sz="6" w:space="0"/>
            </w:tcBorders>
          </w:tcPr>
          <w:p w14:paraId="56841319">
            <w:pPr>
              <w:spacing w:after="160" w:line="259" w:lineRule="auto"/>
              <w:rPr>
                <w:rFonts w:hint="default"/>
                <w:lang w:val="pt-BR"/>
              </w:rPr>
            </w:pPr>
            <w:r>
              <w:rPr>
                <w:rFonts w:hint="default"/>
                <w:lang w:val="pt-BR"/>
              </w:rPr>
              <w:t>86,4%</w:t>
            </w:r>
          </w:p>
        </w:tc>
      </w:tr>
      <w:tr w14:paraId="70C3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jc w:val="center"/>
        </w:trPr>
        <w:tc>
          <w:tcPr>
            <w:tcW w:w="13212" w:type="dxa"/>
            <w:gridSpan w:val="13"/>
          </w:tcPr>
          <w:p w14:paraId="64E0FD3F">
            <w:pPr>
              <w:jc w:val="center"/>
              <w:rPr>
                <w:rFonts w:hint="default"/>
                <w:vertAlign w:val="baseline"/>
                <w:lang w:val="pt-BR"/>
              </w:rPr>
            </w:pPr>
            <w:r>
              <w:rPr>
                <w:rFonts w:hint="default"/>
                <w:vertAlign w:val="baseline"/>
                <w:lang w:val="pt-BR"/>
              </w:rPr>
              <w:t>Fonte: INEP - Censo Escolar da Educação Básica</w:t>
            </w:r>
          </w:p>
        </w:tc>
      </w:tr>
    </w:tbl>
    <w:p w14:paraId="4C638276">
      <w:pPr>
        <w:ind w:firstLine="708" w:firstLineChars="0"/>
      </w:pPr>
    </w:p>
    <w:p w14:paraId="1EEDC990">
      <w:pPr>
        <w:ind w:firstLine="708" w:firstLineChars="0"/>
      </w:pPr>
      <w:r>
        <w:t xml:space="preserve">A maioria dos Professores da rede Municipal de Ensino possui formação especifica na área de atuação. </w:t>
      </w:r>
    </w:p>
    <w:p w14:paraId="5A816B95"/>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4"/>
        <w:gridCol w:w="9"/>
        <w:gridCol w:w="7673"/>
      </w:tblGrid>
      <w:tr w14:paraId="215B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6" w:type="dxa"/>
            <w:gridSpan w:val="3"/>
          </w:tcPr>
          <w:p w14:paraId="2F843D60">
            <w:pPr>
              <w:jc w:val="center"/>
              <w:rPr>
                <w:rFonts w:hint="default"/>
                <w:b/>
                <w:bCs/>
                <w:vertAlign w:val="baseline"/>
                <w:lang w:val="pt-BR"/>
              </w:rPr>
            </w:pPr>
            <w:r>
              <w:rPr>
                <w:rFonts w:hint="default"/>
                <w:b/>
                <w:bCs/>
                <w:vertAlign w:val="baseline"/>
                <w:lang w:val="pt-BR"/>
              </w:rPr>
              <w:t>Ficha metodológica para o indicador 16A - base PNE</w:t>
            </w:r>
          </w:p>
        </w:tc>
      </w:tr>
      <w:tr w14:paraId="4387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354" w:type="dxa"/>
            <w:tcBorders>
              <w:top w:val="outset" w:color="auto" w:sz="6" w:space="0"/>
              <w:left w:val="outset" w:color="auto" w:sz="6" w:space="0"/>
              <w:bottom w:val="outset" w:color="auto" w:sz="6" w:space="0"/>
              <w:right w:val="outset" w:color="auto" w:sz="6" w:space="0"/>
            </w:tcBorders>
          </w:tcPr>
          <w:p w14:paraId="72BA2E09">
            <w:pPr>
              <w:spacing w:after="160" w:line="259" w:lineRule="auto"/>
              <w:rPr>
                <w:b/>
              </w:rPr>
            </w:pPr>
            <w:r>
              <w:rPr>
                <w:b/>
              </w:rPr>
              <w:t>Meta</w:t>
            </w:r>
          </w:p>
        </w:tc>
        <w:tc>
          <w:tcPr>
            <w:tcW w:w="7682" w:type="dxa"/>
            <w:gridSpan w:val="2"/>
            <w:tcBorders>
              <w:top w:val="outset" w:color="auto" w:sz="6" w:space="0"/>
              <w:left w:val="outset" w:color="auto" w:sz="6" w:space="0"/>
              <w:bottom w:val="outset" w:color="auto" w:sz="6" w:space="0"/>
              <w:right w:val="outset" w:color="auto" w:sz="6" w:space="0"/>
            </w:tcBorders>
          </w:tcPr>
          <w:p w14:paraId="2BB3A1BF">
            <w:pPr>
              <w:spacing w:after="160" w:line="259" w:lineRule="auto"/>
              <w:rPr>
                <w:b/>
              </w:rPr>
            </w:pPr>
            <w:r>
              <w:rPr>
                <w:b/>
              </w:rPr>
              <w:t>Texto da meta</w:t>
            </w:r>
          </w:p>
        </w:tc>
      </w:tr>
      <w:tr w14:paraId="0EA3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354" w:type="dxa"/>
            <w:tcBorders>
              <w:top w:val="nil"/>
              <w:left w:val="outset" w:color="auto" w:sz="6" w:space="0"/>
              <w:bottom w:val="outset" w:color="auto" w:sz="6" w:space="0"/>
              <w:right w:val="outset" w:color="auto" w:sz="6" w:space="0"/>
            </w:tcBorders>
          </w:tcPr>
          <w:p w14:paraId="12454A31">
            <w:pPr>
              <w:spacing w:after="160" w:line="259" w:lineRule="auto"/>
            </w:pPr>
            <w:r>
              <w:t>16</w:t>
            </w:r>
          </w:p>
          <w:p w14:paraId="40B90DF6">
            <w:pPr>
              <w:spacing w:after="160" w:line="259" w:lineRule="auto"/>
            </w:pPr>
          </w:p>
          <w:p w14:paraId="7F45F5AC">
            <w:pPr>
              <w:spacing w:after="160" w:line="259" w:lineRule="auto"/>
            </w:pPr>
          </w:p>
        </w:tc>
        <w:tc>
          <w:tcPr>
            <w:tcW w:w="7682" w:type="dxa"/>
            <w:gridSpan w:val="2"/>
            <w:tcBorders>
              <w:top w:val="nil"/>
              <w:left w:val="outset" w:color="auto" w:sz="6" w:space="0"/>
              <w:bottom w:val="outset" w:color="auto" w:sz="6" w:space="0"/>
              <w:right w:val="outset" w:color="auto" w:sz="6" w:space="0"/>
            </w:tcBorders>
          </w:tcPr>
          <w:p w14:paraId="1BAE5811">
            <w:pPr>
              <w:spacing w:after="160" w:line="259" w:lineRule="auto"/>
              <w:jc w:val="both"/>
              <w:rPr>
                <w:i/>
              </w:rPr>
            </w:pPr>
            <w:r>
              <w:rPr>
                <w:bCs/>
              </w:rPr>
              <w:t>Formar, em nível de pós-graduação, 90% (noventa por cento) dos professores da educação básica, até o último ano de vigência deste PME, e garantir a todos (as) os (as) profissionais da educação básica formação continuada em sua área de atuação, considerando as necessidades, demandas e contextualizações dos sistemas de ensino.</w:t>
            </w:r>
          </w:p>
        </w:tc>
      </w:tr>
      <w:tr w14:paraId="3367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363" w:type="dxa"/>
            <w:gridSpan w:val="2"/>
            <w:tcBorders>
              <w:top w:val="outset" w:color="auto" w:sz="6" w:space="0"/>
              <w:left w:val="outset" w:color="auto" w:sz="6" w:space="0"/>
              <w:bottom w:val="outset" w:color="auto" w:sz="6" w:space="0"/>
              <w:right w:val="outset" w:color="auto" w:sz="6" w:space="0"/>
            </w:tcBorders>
          </w:tcPr>
          <w:p w14:paraId="123FEFB4">
            <w:pPr>
              <w:rPr>
                <w:rFonts w:hint="default"/>
                <w:lang w:val="pt-BR"/>
              </w:rPr>
            </w:pPr>
            <w:r>
              <w:rPr>
                <w:b/>
              </w:rPr>
              <w:t xml:space="preserve"> </w:t>
            </w:r>
            <w:r>
              <w:t>Indicador 1</w:t>
            </w:r>
            <w:r>
              <w:rPr>
                <w:rFonts w:hint="default"/>
                <w:lang w:val="pt-BR"/>
              </w:rPr>
              <w:t>6 A Nacional</w:t>
            </w:r>
          </w:p>
        </w:tc>
        <w:tc>
          <w:tcPr>
            <w:tcW w:w="7673" w:type="dxa"/>
            <w:tcBorders>
              <w:top w:val="outset" w:color="auto" w:sz="6" w:space="0"/>
              <w:left w:val="outset" w:color="auto" w:sz="6" w:space="0"/>
              <w:bottom w:val="outset" w:color="auto" w:sz="6" w:space="0"/>
              <w:right w:val="outset" w:color="auto" w:sz="6" w:space="0"/>
            </w:tcBorders>
          </w:tcPr>
          <w:p w14:paraId="52518F20">
            <w:pPr>
              <w:spacing w:after="160" w:line="259" w:lineRule="auto"/>
              <w:rPr>
                <w:rFonts w:hint="default"/>
                <w:lang w:val="pt-BR"/>
              </w:rPr>
            </w:pPr>
            <w:r>
              <w:t>Percentual de professores da educação básica com pós-graduação lato sensu ou stricto sensu</w:t>
            </w:r>
            <w:r>
              <w:rPr>
                <w:rFonts w:hint="default"/>
                <w:lang w:val="pt-BR"/>
              </w:rPr>
              <w:t>.</w:t>
            </w:r>
          </w:p>
        </w:tc>
      </w:tr>
      <w:tr w14:paraId="0D38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363" w:type="dxa"/>
            <w:gridSpan w:val="2"/>
            <w:tcBorders>
              <w:top w:val="outset" w:color="auto" w:sz="6" w:space="0"/>
              <w:left w:val="outset" w:color="auto" w:sz="6" w:space="0"/>
              <w:bottom w:val="outset" w:color="auto" w:sz="6" w:space="0"/>
              <w:right w:val="outset" w:color="auto" w:sz="6" w:space="0"/>
            </w:tcBorders>
          </w:tcPr>
          <w:p w14:paraId="7FFD32AE">
            <w:pPr>
              <w:rPr>
                <w:rFonts w:hint="default"/>
                <w:b w:val="0"/>
                <w:bCs/>
                <w:lang w:val="pt-BR"/>
              </w:rPr>
            </w:pPr>
            <w:r>
              <w:rPr>
                <w:rFonts w:hint="default"/>
                <w:b w:val="0"/>
                <w:bCs/>
                <w:lang w:val="pt-BR"/>
              </w:rPr>
              <w:t>Indicador 16A Proposto</w:t>
            </w:r>
          </w:p>
        </w:tc>
        <w:tc>
          <w:tcPr>
            <w:tcW w:w="7673" w:type="dxa"/>
            <w:tcBorders>
              <w:top w:val="outset" w:color="auto" w:sz="6" w:space="0"/>
              <w:left w:val="outset" w:color="auto" w:sz="6" w:space="0"/>
              <w:bottom w:val="outset" w:color="auto" w:sz="6" w:space="0"/>
              <w:right w:val="outset" w:color="auto" w:sz="6" w:space="0"/>
            </w:tcBorders>
          </w:tcPr>
          <w:p w14:paraId="18CCCE8E">
            <w:pPr>
              <w:spacing w:after="160" w:line="259" w:lineRule="auto"/>
              <w:rPr>
                <w:rFonts w:hint="default"/>
                <w:b w:val="0"/>
                <w:bCs/>
                <w:lang w:val="pt-BR"/>
              </w:rPr>
            </w:pPr>
            <w:r>
              <w:rPr>
                <w:rFonts w:hint="default"/>
                <w:b w:val="0"/>
                <w:bCs/>
                <w:lang w:val="pt-BR"/>
              </w:rPr>
              <w:t>Replicar o nacional</w:t>
            </w:r>
          </w:p>
        </w:tc>
      </w:tr>
      <w:tr w14:paraId="43D8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363" w:type="dxa"/>
            <w:gridSpan w:val="2"/>
            <w:tcBorders>
              <w:top w:val="nil"/>
              <w:left w:val="outset" w:color="auto" w:sz="6" w:space="0"/>
              <w:bottom w:val="outset" w:color="auto" w:sz="6" w:space="0"/>
              <w:right w:val="outset" w:color="auto" w:sz="6" w:space="0"/>
            </w:tcBorders>
          </w:tcPr>
          <w:p w14:paraId="4507AF5A">
            <w:pPr>
              <w:spacing w:after="160" w:line="259" w:lineRule="auto"/>
            </w:pPr>
            <w:r>
              <w:t>Fórmula de cálculo</w:t>
            </w:r>
          </w:p>
        </w:tc>
        <w:tc>
          <w:tcPr>
            <w:tcW w:w="7673" w:type="dxa"/>
            <w:tcBorders>
              <w:top w:val="nil"/>
              <w:left w:val="outset" w:color="auto" w:sz="6" w:space="0"/>
              <w:bottom w:val="outset" w:color="auto" w:sz="6" w:space="0"/>
              <w:right w:val="outset" w:color="auto" w:sz="6" w:space="0"/>
            </w:tcBorders>
          </w:tcPr>
          <w:p w14:paraId="1B72ABE1">
            <w:pPr>
              <w:spacing w:after="160" w:line="259" w:lineRule="auto"/>
            </w:pPr>
            <w:r>
              <w:t>(Professores com pós-graduação / Total de professores) x 100</w:t>
            </w:r>
          </w:p>
        </w:tc>
      </w:tr>
      <w:tr w14:paraId="34E6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363" w:type="dxa"/>
            <w:gridSpan w:val="2"/>
            <w:tcBorders>
              <w:top w:val="nil"/>
              <w:left w:val="outset" w:color="auto" w:sz="6" w:space="0"/>
              <w:bottom w:val="outset" w:color="auto" w:sz="6" w:space="0"/>
              <w:right w:val="outset" w:color="auto" w:sz="6" w:space="0"/>
            </w:tcBorders>
          </w:tcPr>
          <w:p w14:paraId="6C166F0D">
            <w:pPr>
              <w:spacing w:after="160" w:line="259" w:lineRule="auto"/>
            </w:pPr>
            <w:r>
              <w:t>Comentário</w:t>
            </w:r>
          </w:p>
        </w:tc>
        <w:tc>
          <w:tcPr>
            <w:tcW w:w="7673" w:type="dxa"/>
            <w:tcBorders>
              <w:top w:val="nil"/>
              <w:left w:val="outset" w:color="auto" w:sz="6" w:space="0"/>
              <w:bottom w:val="outset" w:color="auto" w:sz="6" w:space="0"/>
              <w:right w:val="outset" w:color="auto" w:sz="6" w:space="0"/>
            </w:tcBorders>
          </w:tcPr>
          <w:p w14:paraId="0B9652F8">
            <w:pPr>
              <w:spacing w:after="160" w:line="259" w:lineRule="auto"/>
              <w:jc w:val="both"/>
              <w:rPr>
                <w:rFonts w:hint="default"/>
                <w:b/>
                <w:lang w:val="pt-BR"/>
              </w:rPr>
            </w:pPr>
            <w:r>
              <w:t xml:space="preserve">Calculado conforme Relatório do 3º Ciclo de Monitoramento das Metas do Plano Nacional de Educação - 2020 (INEP). </w:t>
            </w:r>
            <w:r>
              <w:rPr>
                <w:b/>
              </w:rPr>
              <w:t>* PORÉM, A PARTIR DE 2021 OS ARQUIVOS DE DADOS DO CENSO ESCOLAR DA EDUCAÇÃO BÁSICA DISPONIBILIZADOS PELO INEP, NÃO PERMITEM VERIFICAR A PÓS GRADUAÇÃO POR PROFESSOR, APENAS OS TOTAIS (ASSIM, UM PROFESSOR QUE POSSUA ESPECIALIZAÇÃO, MESTRADO E</w:t>
            </w:r>
            <w:r>
              <w:rPr>
                <w:rFonts w:hint="default"/>
                <w:b/>
                <w:lang w:val="pt-BR"/>
              </w:rPr>
              <w:t xml:space="preserve"> </w:t>
            </w:r>
            <w:r>
              <w:rPr>
                <w:b/>
              </w:rPr>
              <w:t>DOUTORADO SERIA CONTABILIZADO TRÊS VEZES. VÁRIOS MUNICÍPIOS FICARAM COM MAIS DE 100% DOS PROFESSORES PÓS-GRADUADOS). DESSA FORMA, PARA OS MUNICÍPIOS, A SÉRIE HISTÓRICA FICA INTERROMPIDA EM 2021 POR FALTA DE DADOS</w:t>
            </w:r>
            <w:r>
              <w:rPr>
                <w:rFonts w:hint="default"/>
                <w:b/>
                <w:lang w:val="pt-BR"/>
              </w:rPr>
              <w:t>.</w:t>
            </w:r>
          </w:p>
        </w:tc>
      </w:tr>
    </w:tbl>
    <w:p w14:paraId="526B1E3C">
      <w:pPr>
        <w:rPr>
          <w:b/>
        </w:rPr>
      </w:pPr>
    </w:p>
    <w:tbl>
      <w:tblPr>
        <w:tblStyle w:val="9"/>
        <w:tblW w:w="13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
        <w:gridCol w:w="3223"/>
        <w:gridCol w:w="1705"/>
        <w:gridCol w:w="1091"/>
        <w:gridCol w:w="1104"/>
        <w:gridCol w:w="859"/>
        <w:gridCol w:w="955"/>
        <w:gridCol w:w="763"/>
        <w:gridCol w:w="914"/>
        <w:gridCol w:w="941"/>
        <w:gridCol w:w="862"/>
        <w:gridCol w:w="16"/>
        <w:gridCol w:w="751"/>
        <w:gridCol w:w="25"/>
      </w:tblGrid>
      <w:tr w14:paraId="4D55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 w:type="dxa"/>
          <w:jc w:val="center"/>
        </w:trPr>
        <w:tc>
          <w:tcPr>
            <w:tcW w:w="12429" w:type="dxa"/>
            <w:gridSpan w:val="11"/>
          </w:tcPr>
          <w:p w14:paraId="69F807DB">
            <w:pPr>
              <w:rPr>
                <w:rFonts w:hint="default"/>
                <w:b/>
                <w:bCs/>
                <w:vertAlign w:val="baseline"/>
                <w:lang w:val="pt-BR"/>
              </w:rPr>
            </w:pPr>
            <w:r>
              <w:rPr>
                <w:b/>
              </w:rPr>
              <w:t xml:space="preserve"> </w:t>
            </w:r>
            <w:r>
              <w:rPr>
                <w:rFonts w:hint="default"/>
                <w:b/>
                <w:bCs/>
                <w:vertAlign w:val="baseline"/>
                <w:lang w:val="pt-BR"/>
              </w:rPr>
              <w:t>Dados/Indicadores: Indicador 16A</w:t>
            </w:r>
          </w:p>
        </w:tc>
        <w:tc>
          <w:tcPr>
            <w:tcW w:w="767" w:type="dxa"/>
            <w:gridSpan w:val="2"/>
          </w:tcPr>
          <w:p w14:paraId="4DFC972C">
            <w:pPr>
              <w:jc w:val="center"/>
              <w:rPr>
                <w:rFonts w:hint="default"/>
                <w:b/>
                <w:bCs/>
                <w:vertAlign w:val="baseline"/>
                <w:lang w:val="pt-BR"/>
              </w:rPr>
            </w:pPr>
          </w:p>
        </w:tc>
      </w:tr>
      <w:tr w14:paraId="5242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12" w:type="dxa"/>
          <w:wAfter w:w="25" w:type="dxa"/>
          <w:jc w:val="center"/>
        </w:trPr>
        <w:tc>
          <w:tcPr>
            <w:tcW w:w="3223" w:type="dxa"/>
            <w:tcBorders>
              <w:top w:val="outset" w:color="auto" w:sz="6" w:space="0"/>
              <w:left w:val="outset" w:color="auto" w:sz="6" w:space="0"/>
              <w:bottom w:val="outset" w:color="auto" w:sz="6" w:space="0"/>
              <w:right w:val="outset" w:color="auto" w:sz="6" w:space="0"/>
            </w:tcBorders>
          </w:tcPr>
          <w:p w14:paraId="16957BED">
            <w:pPr>
              <w:spacing w:after="160" w:line="259" w:lineRule="auto"/>
              <w:rPr>
                <w:rFonts w:hint="default"/>
                <w:lang w:val="pt-BR"/>
              </w:rPr>
            </w:pPr>
            <w:r>
              <w:rPr>
                <w:rFonts w:hint="default"/>
                <w:lang w:val="pt-BR"/>
              </w:rPr>
              <w:t>Ano</w:t>
            </w:r>
          </w:p>
        </w:tc>
        <w:tc>
          <w:tcPr>
            <w:tcW w:w="1705" w:type="dxa"/>
            <w:tcBorders>
              <w:top w:val="outset" w:color="auto" w:sz="6" w:space="0"/>
              <w:left w:val="outset" w:color="auto" w:sz="6" w:space="0"/>
              <w:bottom w:val="outset" w:color="auto" w:sz="6" w:space="0"/>
              <w:right w:val="outset" w:color="auto" w:sz="6" w:space="0"/>
            </w:tcBorders>
          </w:tcPr>
          <w:p w14:paraId="6E664F81">
            <w:pPr>
              <w:spacing w:after="160" w:line="259" w:lineRule="auto"/>
            </w:pPr>
            <w:r>
              <w:t>2014</w:t>
            </w:r>
          </w:p>
        </w:tc>
        <w:tc>
          <w:tcPr>
            <w:tcW w:w="1091" w:type="dxa"/>
            <w:tcBorders>
              <w:top w:val="outset" w:color="auto" w:sz="6" w:space="0"/>
              <w:left w:val="outset" w:color="auto" w:sz="6" w:space="0"/>
              <w:bottom w:val="outset" w:color="auto" w:sz="6" w:space="0"/>
              <w:right w:val="outset" w:color="auto" w:sz="6" w:space="0"/>
            </w:tcBorders>
          </w:tcPr>
          <w:p w14:paraId="55BE852E">
            <w:pPr>
              <w:spacing w:after="160" w:line="259" w:lineRule="auto"/>
            </w:pPr>
            <w:r>
              <w:t>2015</w:t>
            </w:r>
          </w:p>
        </w:tc>
        <w:tc>
          <w:tcPr>
            <w:tcW w:w="1104" w:type="dxa"/>
            <w:tcBorders>
              <w:top w:val="outset" w:color="auto" w:sz="6" w:space="0"/>
              <w:left w:val="outset" w:color="auto" w:sz="6" w:space="0"/>
              <w:bottom w:val="outset" w:color="auto" w:sz="6" w:space="0"/>
              <w:right w:val="outset" w:color="auto" w:sz="6" w:space="0"/>
            </w:tcBorders>
          </w:tcPr>
          <w:p w14:paraId="5ACB3657">
            <w:pPr>
              <w:spacing w:after="160" w:line="259" w:lineRule="auto"/>
            </w:pPr>
            <w:r>
              <w:t>2016</w:t>
            </w:r>
          </w:p>
        </w:tc>
        <w:tc>
          <w:tcPr>
            <w:tcW w:w="859" w:type="dxa"/>
            <w:tcBorders>
              <w:top w:val="outset" w:color="auto" w:sz="6" w:space="0"/>
              <w:left w:val="outset" w:color="auto" w:sz="6" w:space="0"/>
              <w:bottom w:val="outset" w:color="auto" w:sz="6" w:space="0"/>
              <w:right w:val="outset" w:color="auto" w:sz="6" w:space="0"/>
            </w:tcBorders>
          </w:tcPr>
          <w:p w14:paraId="1CCEE0D9">
            <w:pPr>
              <w:spacing w:after="160" w:line="259" w:lineRule="auto"/>
            </w:pPr>
            <w:r>
              <w:t>2017</w:t>
            </w:r>
          </w:p>
        </w:tc>
        <w:tc>
          <w:tcPr>
            <w:tcW w:w="955" w:type="dxa"/>
            <w:tcBorders>
              <w:top w:val="outset" w:color="auto" w:sz="6" w:space="0"/>
              <w:left w:val="outset" w:color="auto" w:sz="6" w:space="0"/>
              <w:bottom w:val="outset" w:color="auto" w:sz="6" w:space="0"/>
              <w:right w:val="outset" w:color="auto" w:sz="6" w:space="0"/>
            </w:tcBorders>
          </w:tcPr>
          <w:p w14:paraId="092A85E9">
            <w:pPr>
              <w:spacing w:after="160" w:line="259" w:lineRule="auto"/>
            </w:pPr>
            <w:r>
              <w:t>2018</w:t>
            </w:r>
          </w:p>
        </w:tc>
        <w:tc>
          <w:tcPr>
            <w:tcW w:w="763" w:type="dxa"/>
            <w:tcBorders>
              <w:top w:val="outset" w:color="auto" w:sz="6" w:space="0"/>
              <w:left w:val="outset" w:color="auto" w:sz="6" w:space="0"/>
              <w:bottom w:val="outset" w:color="auto" w:sz="6" w:space="0"/>
              <w:right w:val="outset" w:color="auto" w:sz="6" w:space="0"/>
            </w:tcBorders>
          </w:tcPr>
          <w:p w14:paraId="637E93E3">
            <w:pPr>
              <w:spacing w:after="160" w:line="259" w:lineRule="auto"/>
            </w:pPr>
            <w:r>
              <w:t>2019</w:t>
            </w:r>
          </w:p>
        </w:tc>
        <w:tc>
          <w:tcPr>
            <w:tcW w:w="914" w:type="dxa"/>
            <w:tcBorders>
              <w:top w:val="outset" w:color="auto" w:sz="6" w:space="0"/>
              <w:left w:val="outset" w:color="auto" w:sz="6" w:space="0"/>
              <w:bottom w:val="outset" w:color="auto" w:sz="6" w:space="0"/>
              <w:right w:val="outset" w:color="auto" w:sz="6" w:space="0"/>
            </w:tcBorders>
          </w:tcPr>
          <w:p w14:paraId="554516FE">
            <w:pPr>
              <w:spacing w:after="160" w:line="259" w:lineRule="auto"/>
            </w:pPr>
            <w:r>
              <w:t>2020</w:t>
            </w:r>
          </w:p>
        </w:tc>
        <w:tc>
          <w:tcPr>
            <w:tcW w:w="941" w:type="dxa"/>
            <w:tcBorders>
              <w:top w:val="outset" w:color="auto" w:sz="6" w:space="0"/>
              <w:left w:val="outset" w:color="auto" w:sz="6" w:space="0"/>
              <w:bottom w:val="outset" w:color="auto" w:sz="6" w:space="0"/>
              <w:right w:val="outset" w:color="auto" w:sz="6" w:space="0"/>
            </w:tcBorders>
          </w:tcPr>
          <w:p w14:paraId="1AFAC251">
            <w:pPr>
              <w:spacing w:after="160" w:line="259" w:lineRule="auto"/>
            </w:pPr>
            <w:r>
              <w:t>2021</w:t>
            </w:r>
          </w:p>
        </w:tc>
        <w:tc>
          <w:tcPr>
            <w:tcW w:w="878" w:type="dxa"/>
            <w:gridSpan w:val="2"/>
            <w:tcBorders>
              <w:top w:val="outset" w:color="auto" w:sz="6" w:space="0"/>
              <w:left w:val="outset" w:color="auto" w:sz="6" w:space="0"/>
              <w:bottom w:val="outset" w:color="auto" w:sz="6" w:space="0"/>
              <w:right w:val="outset" w:color="auto" w:sz="6" w:space="0"/>
            </w:tcBorders>
          </w:tcPr>
          <w:p w14:paraId="2B7B6A34">
            <w:pPr>
              <w:spacing w:after="160" w:line="259" w:lineRule="auto"/>
            </w:pPr>
            <w:r>
              <w:t>2022</w:t>
            </w:r>
          </w:p>
        </w:tc>
        <w:tc>
          <w:tcPr>
            <w:tcW w:w="751" w:type="dxa"/>
            <w:tcBorders>
              <w:top w:val="outset" w:color="auto" w:sz="6" w:space="0"/>
              <w:left w:val="outset" w:color="auto" w:sz="6" w:space="0"/>
              <w:bottom w:val="outset" w:color="auto" w:sz="6" w:space="0"/>
              <w:right w:val="outset" w:color="auto" w:sz="6" w:space="0"/>
            </w:tcBorders>
          </w:tcPr>
          <w:p w14:paraId="39F5339B">
            <w:pPr>
              <w:spacing w:after="160" w:line="259" w:lineRule="auto"/>
              <w:rPr>
                <w:rFonts w:hint="default"/>
                <w:lang w:val="pt-BR"/>
              </w:rPr>
            </w:pPr>
            <w:r>
              <w:rPr>
                <w:rFonts w:hint="default"/>
                <w:lang w:val="pt-BR"/>
              </w:rPr>
              <w:t>2023</w:t>
            </w:r>
          </w:p>
        </w:tc>
      </w:tr>
      <w:tr w14:paraId="4F1B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1"/>
          <w:wBefore w:w="12" w:type="dxa"/>
          <w:wAfter w:w="25" w:type="dxa"/>
          <w:jc w:val="center"/>
        </w:trPr>
        <w:tc>
          <w:tcPr>
            <w:tcW w:w="3223" w:type="dxa"/>
            <w:tcBorders>
              <w:top w:val="nil"/>
              <w:left w:val="outset" w:color="auto" w:sz="6" w:space="0"/>
              <w:bottom w:val="outset" w:color="auto" w:sz="6" w:space="0"/>
              <w:right w:val="outset" w:color="auto" w:sz="6" w:space="0"/>
            </w:tcBorders>
          </w:tcPr>
          <w:p w14:paraId="176D9A6C">
            <w:pPr>
              <w:spacing w:after="160" w:line="259" w:lineRule="auto"/>
            </w:pPr>
            <w:r>
              <w:t xml:space="preserve">Indicador </w:t>
            </w:r>
          </w:p>
        </w:tc>
        <w:tc>
          <w:tcPr>
            <w:tcW w:w="1705" w:type="dxa"/>
            <w:tcBorders>
              <w:top w:val="nil"/>
              <w:left w:val="outset" w:color="auto" w:sz="6" w:space="0"/>
              <w:bottom w:val="outset" w:color="auto" w:sz="6" w:space="0"/>
              <w:right w:val="outset" w:color="auto" w:sz="6" w:space="0"/>
            </w:tcBorders>
          </w:tcPr>
          <w:p w14:paraId="358576BB">
            <w:pPr>
              <w:spacing w:after="160" w:line="259" w:lineRule="auto"/>
            </w:pPr>
            <w:r>
              <w:t>88,1%</w:t>
            </w:r>
          </w:p>
        </w:tc>
        <w:tc>
          <w:tcPr>
            <w:tcW w:w="1091" w:type="dxa"/>
            <w:tcBorders>
              <w:top w:val="nil"/>
              <w:left w:val="outset" w:color="auto" w:sz="6" w:space="0"/>
              <w:bottom w:val="outset" w:color="auto" w:sz="6" w:space="0"/>
              <w:right w:val="outset" w:color="auto" w:sz="6" w:space="0"/>
            </w:tcBorders>
          </w:tcPr>
          <w:p w14:paraId="7CF032B4">
            <w:pPr>
              <w:spacing w:after="160" w:line="259" w:lineRule="auto"/>
            </w:pPr>
            <w:r>
              <w:t>80,6%</w:t>
            </w:r>
          </w:p>
        </w:tc>
        <w:tc>
          <w:tcPr>
            <w:tcW w:w="1104" w:type="dxa"/>
            <w:tcBorders>
              <w:top w:val="nil"/>
              <w:left w:val="outset" w:color="auto" w:sz="6" w:space="0"/>
              <w:bottom w:val="outset" w:color="auto" w:sz="6" w:space="0"/>
              <w:right w:val="outset" w:color="auto" w:sz="6" w:space="0"/>
            </w:tcBorders>
          </w:tcPr>
          <w:p w14:paraId="76D5D232">
            <w:pPr>
              <w:spacing w:after="160" w:line="259" w:lineRule="auto"/>
            </w:pPr>
            <w:r>
              <w:t>78,1%</w:t>
            </w:r>
          </w:p>
        </w:tc>
        <w:tc>
          <w:tcPr>
            <w:tcW w:w="859" w:type="dxa"/>
            <w:tcBorders>
              <w:top w:val="nil"/>
              <w:left w:val="outset" w:color="auto" w:sz="6" w:space="0"/>
              <w:bottom w:val="outset" w:color="auto" w:sz="6" w:space="0"/>
              <w:right w:val="outset" w:color="auto" w:sz="6" w:space="0"/>
            </w:tcBorders>
          </w:tcPr>
          <w:p w14:paraId="44B94E3F">
            <w:pPr>
              <w:spacing w:after="160" w:line="259" w:lineRule="auto"/>
            </w:pPr>
            <w:r>
              <w:t>83,1%</w:t>
            </w:r>
          </w:p>
        </w:tc>
        <w:tc>
          <w:tcPr>
            <w:tcW w:w="955" w:type="dxa"/>
            <w:tcBorders>
              <w:top w:val="nil"/>
              <w:left w:val="outset" w:color="auto" w:sz="6" w:space="0"/>
              <w:bottom w:val="outset" w:color="auto" w:sz="6" w:space="0"/>
              <w:right w:val="outset" w:color="auto" w:sz="6" w:space="0"/>
            </w:tcBorders>
          </w:tcPr>
          <w:p w14:paraId="7C409F02">
            <w:pPr>
              <w:spacing w:after="160" w:line="259" w:lineRule="auto"/>
            </w:pPr>
            <w:r>
              <w:t>81,8%</w:t>
            </w:r>
          </w:p>
        </w:tc>
        <w:tc>
          <w:tcPr>
            <w:tcW w:w="763" w:type="dxa"/>
            <w:tcBorders>
              <w:top w:val="nil"/>
              <w:left w:val="outset" w:color="auto" w:sz="6" w:space="0"/>
              <w:bottom w:val="outset" w:color="auto" w:sz="6" w:space="0"/>
              <w:right w:val="outset" w:color="auto" w:sz="6" w:space="0"/>
            </w:tcBorders>
          </w:tcPr>
          <w:p w14:paraId="3FFBFA7A">
            <w:pPr>
              <w:spacing w:after="160" w:line="259" w:lineRule="auto"/>
            </w:pPr>
            <w:r>
              <w:t>85,1%</w:t>
            </w:r>
          </w:p>
        </w:tc>
        <w:tc>
          <w:tcPr>
            <w:tcW w:w="914" w:type="dxa"/>
            <w:tcBorders>
              <w:top w:val="nil"/>
              <w:left w:val="outset" w:color="auto" w:sz="6" w:space="0"/>
              <w:bottom w:val="outset" w:color="auto" w:sz="6" w:space="0"/>
              <w:right w:val="outset" w:color="auto" w:sz="6" w:space="0"/>
            </w:tcBorders>
          </w:tcPr>
          <w:p w14:paraId="00CBE27C">
            <w:pPr>
              <w:spacing w:after="160" w:line="259" w:lineRule="auto"/>
            </w:pPr>
            <w:r>
              <w:t>93,0%</w:t>
            </w:r>
          </w:p>
        </w:tc>
        <w:tc>
          <w:tcPr>
            <w:tcW w:w="941" w:type="dxa"/>
            <w:tcBorders>
              <w:top w:val="nil"/>
              <w:left w:val="outset" w:color="auto" w:sz="6" w:space="0"/>
              <w:bottom w:val="outset" w:color="auto" w:sz="6" w:space="0"/>
              <w:right w:val="outset" w:color="auto" w:sz="6" w:space="0"/>
            </w:tcBorders>
          </w:tcPr>
          <w:p w14:paraId="29E25E94">
            <w:pPr>
              <w:spacing w:after="160" w:line="259" w:lineRule="auto"/>
            </w:pPr>
            <w:r>
              <w:t>-</w:t>
            </w:r>
          </w:p>
        </w:tc>
        <w:tc>
          <w:tcPr>
            <w:tcW w:w="878" w:type="dxa"/>
            <w:gridSpan w:val="2"/>
            <w:tcBorders>
              <w:top w:val="nil"/>
              <w:left w:val="outset" w:color="auto" w:sz="6" w:space="0"/>
              <w:bottom w:val="outset" w:color="auto" w:sz="6" w:space="0"/>
              <w:right w:val="outset" w:color="auto" w:sz="6" w:space="0"/>
            </w:tcBorders>
          </w:tcPr>
          <w:p w14:paraId="012CE044">
            <w:pPr>
              <w:spacing w:after="160" w:line="259" w:lineRule="auto"/>
            </w:pPr>
            <w:r>
              <w:t>-</w:t>
            </w:r>
          </w:p>
        </w:tc>
        <w:tc>
          <w:tcPr>
            <w:tcW w:w="751" w:type="dxa"/>
            <w:tcBorders>
              <w:top w:val="nil"/>
              <w:left w:val="outset" w:color="auto" w:sz="6" w:space="0"/>
              <w:bottom w:val="outset" w:color="auto" w:sz="6" w:space="0"/>
              <w:right w:val="outset" w:color="auto" w:sz="6" w:space="0"/>
            </w:tcBorders>
          </w:tcPr>
          <w:p w14:paraId="629ABEE0">
            <w:pPr>
              <w:spacing w:after="160" w:line="259" w:lineRule="auto"/>
              <w:rPr>
                <w:rFonts w:hint="default"/>
                <w:lang w:val="pt-BR"/>
              </w:rPr>
            </w:pPr>
            <w:r>
              <w:rPr>
                <w:rFonts w:hint="default"/>
                <w:lang w:val="pt-BR"/>
              </w:rPr>
              <w:t>-</w:t>
            </w:r>
          </w:p>
        </w:tc>
      </w:tr>
      <w:tr w14:paraId="64AE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12433" w:type="dxa"/>
            <w:gridSpan w:val="11"/>
          </w:tcPr>
          <w:p w14:paraId="200B3D9D">
            <w:pPr>
              <w:jc w:val="center"/>
              <w:rPr>
                <w:rFonts w:hint="default"/>
                <w:vertAlign w:val="baseline"/>
                <w:lang w:val="pt-BR"/>
              </w:rPr>
            </w:pPr>
            <w:r>
              <w:rPr>
                <w:rFonts w:hint="default"/>
                <w:vertAlign w:val="baseline"/>
                <w:lang w:val="pt-BR"/>
              </w:rPr>
              <w:t>Fonte: INEP - Censo Escolar da Educação Básica</w:t>
            </w:r>
          </w:p>
        </w:tc>
        <w:tc>
          <w:tcPr>
            <w:tcW w:w="776" w:type="dxa"/>
            <w:gridSpan w:val="2"/>
          </w:tcPr>
          <w:p w14:paraId="4A4C74C1">
            <w:pPr>
              <w:jc w:val="center"/>
            </w:pPr>
          </w:p>
        </w:tc>
      </w:tr>
    </w:tbl>
    <w:p w14:paraId="25304A44">
      <w:pPr>
        <w:rPr>
          <w:b/>
        </w:rPr>
      </w:pPr>
    </w:p>
    <w:p w14:paraId="19025600">
      <w:pPr>
        <w:rPr>
          <w:b/>
        </w:rPr>
      </w:pP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0"/>
        <w:gridCol w:w="7605"/>
      </w:tblGrid>
      <w:tr w14:paraId="5604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2"/>
          </w:tcPr>
          <w:p w14:paraId="3DF10224">
            <w:pPr>
              <w:jc w:val="center"/>
              <w:rPr>
                <w:rFonts w:hint="default"/>
                <w:b/>
                <w:bCs/>
                <w:vertAlign w:val="baseline"/>
                <w:lang w:val="pt-BR"/>
              </w:rPr>
            </w:pPr>
            <w:r>
              <w:rPr>
                <w:rFonts w:hint="default"/>
                <w:b/>
                <w:bCs/>
                <w:vertAlign w:val="baseline"/>
                <w:lang w:val="pt-BR"/>
              </w:rPr>
              <w:t>Ficha metodológica para o indicador 16B - base PNE</w:t>
            </w:r>
          </w:p>
        </w:tc>
      </w:tr>
      <w:tr w14:paraId="3F04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20" w:type="dxa"/>
            <w:tcBorders>
              <w:top w:val="outset" w:color="auto" w:sz="6" w:space="0"/>
              <w:left w:val="outset" w:color="auto" w:sz="6" w:space="0"/>
              <w:bottom w:val="outset" w:color="auto" w:sz="6" w:space="0"/>
              <w:right w:val="outset" w:color="auto" w:sz="6" w:space="0"/>
            </w:tcBorders>
          </w:tcPr>
          <w:p w14:paraId="0F40B5A8">
            <w:pPr>
              <w:spacing w:after="160" w:line="259" w:lineRule="auto"/>
              <w:rPr>
                <w:b/>
              </w:rPr>
            </w:pPr>
            <w:r>
              <w:rPr>
                <w:b/>
              </w:rPr>
              <w:t>Meta</w:t>
            </w:r>
          </w:p>
        </w:tc>
        <w:tc>
          <w:tcPr>
            <w:tcW w:w="7605" w:type="dxa"/>
            <w:tcBorders>
              <w:top w:val="outset" w:color="auto" w:sz="6" w:space="0"/>
              <w:left w:val="outset" w:color="auto" w:sz="6" w:space="0"/>
              <w:bottom w:val="outset" w:color="auto" w:sz="6" w:space="0"/>
              <w:right w:val="outset" w:color="auto" w:sz="6" w:space="0"/>
            </w:tcBorders>
          </w:tcPr>
          <w:p w14:paraId="583648B2">
            <w:pPr>
              <w:spacing w:after="160" w:line="259" w:lineRule="auto"/>
              <w:rPr>
                <w:b/>
              </w:rPr>
            </w:pPr>
            <w:r>
              <w:rPr>
                <w:b/>
              </w:rPr>
              <w:t>Texto da meta</w:t>
            </w:r>
          </w:p>
        </w:tc>
      </w:tr>
      <w:tr w14:paraId="78C2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20" w:type="dxa"/>
            <w:tcBorders>
              <w:top w:val="nil"/>
              <w:left w:val="outset" w:color="auto" w:sz="6" w:space="0"/>
              <w:bottom w:val="outset" w:color="auto" w:sz="6" w:space="0"/>
              <w:right w:val="outset" w:color="auto" w:sz="6" w:space="0"/>
            </w:tcBorders>
          </w:tcPr>
          <w:p w14:paraId="4EA982D9">
            <w:pPr>
              <w:spacing w:after="160" w:line="259" w:lineRule="auto"/>
            </w:pPr>
            <w:r>
              <w:t>16</w:t>
            </w:r>
          </w:p>
          <w:p w14:paraId="59B8DB3E">
            <w:pPr>
              <w:spacing w:after="160" w:line="259" w:lineRule="auto"/>
            </w:pPr>
          </w:p>
          <w:p w14:paraId="6750CD21">
            <w:pPr>
              <w:spacing w:after="160" w:line="259" w:lineRule="auto"/>
            </w:pPr>
          </w:p>
        </w:tc>
        <w:tc>
          <w:tcPr>
            <w:tcW w:w="7605" w:type="dxa"/>
            <w:tcBorders>
              <w:top w:val="nil"/>
              <w:left w:val="outset" w:color="auto" w:sz="6" w:space="0"/>
              <w:bottom w:val="outset" w:color="auto" w:sz="6" w:space="0"/>
              <w:right w:val="outset" w:color="auto" w:sz="6" w:space="0"/>
            </w:tcBorders>
          </w:tcPr>
          <w:p w14:paraId="5E03F32F">
            <w:pPr>
              <w:spacing w:after="160" w:line="259" w:lineRule="auto"/>
              <w:jc w:val="both"/>
              <w:rPr>
                <w:i/>
              </w:rPr>
            </w:pPr>
            <w:r>
              <w:rPr>
                <w:bCs/>
              </w:rPr>
              <w:t>Formar, em nível de pós-graduação, 90% (noventa por cento) dos professores da educação básica, até o último ano de vigência deste PME, e garantir a todos (as) os (as) profissionais da educação básica formação continuada em sua área de atuação, considerando as necessidades, demandas e contextualizações dos sistemas de ensino.</w:t>
            </w:r>
          </w:p>
        </w:tc>
      </w:tr>
      <w:tr w14:paraId="7306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20" w:type="dxa"/>
            <w:tcBorders>
              <w:top w:val="outset" w:color="auto" w:sz="6" w:space="0"/>
              <w:left w:val="outset" w:color="auto" w:sz="6" w:space="0"/>
              <w:bottom w:val="outset" w:color="auto" w:sz="6" w:space="0"/>
              <w:right w:val="outset" w:color="auto" w:sz="6" w:space="0"/>
            </w:tcBorders>
          </w:tcPr>
          <w:p w14:paraId="35062F3D">
            <w:pPr>
              <w:spacing w:after="160" w:line="259" w:lineRule="auto"/>
              <w:rPr>
                <w:rFonts w:hint="default"/>
                <w:lang w:val="pt-BR"/>
              </w:rPr>
            </w:pPr>
            <w:r>
              <w:t>Indicador</w:t>
            </w:r>
            <w:r>
              <w:rPr>
                <w:rFonts w:hint="default"/>
                <w:lang w:val="pt-BR"/>
              </w:rPr>
              <w:t xml:space="preserve"> 16B Nacional</w:t>
            </w:r>
          </w:p>
        </w:tc>
        <w:tc>
          <w:tcPr>
            <w:tcW w:w="7605" w:type="dxa"/>
            <w:tcBorders>
              <w:top w:val="outset" w:color="auto" w:sz="6" w:space="0"/>
              <w:left w:val="outset" w:color="auto" w:sz="6" w:space="0"/>
              <w:bottom w:val="outset" w:color="auto" w:sz="6" w:space="0"/>
              <w:right w:val="outset" w:color="auto" w:sz="6" w:space="0"/>
            </w:tcBorders>
          </w:tcPr>
          <w:p w14:paraId="3093CD11">
            <w:pPr>
              <w:spacing w:after="160" w:line="259" w:lineRule="auto"/>
              <w:rPr>
                <w:rFonts w:hint="default"/>
                <w:lang w:val="pt-BR"/>
              </w:rPr>
            </w:pPr>
            <w:r>
              <w:t>Percentual de professores da educação básica que realizaram cursos de formação continuada</w:t>
            </w:r>
            <w:r>
              <w:rPr>
                <w:rFonts w:hint="default"/>
                <w:lang w:val="pt-BR"/>
              </w:rPr>
              <w:t>.</w:t>
            </w:r>
          </w:p>
        </w:tc>
      </w:tr>
      <w:tr w14:paraId="7866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20" w:type="dxa"/>
            <w:tcBorders>
              <w:top w:val="outset" w:color="auto" w:sz="6" w:space="0"/>
              <w:left w:val="outset" w:color="auto" w:sz="6" w:space="0"/>
              <w:bottom w:val="outset" w:color="auto" w:sz="6" w:space="0"/>
              <w:right w:val="outset" w:color="auto" w:sz="6" w:space="0"/>
            </w:tcBorders>
          </w:tcPr>
          <w:p w14:paraId="0B6A1F91">
            <w:pPr>
              <w:spacing w:after="160" w:line="259" w:lineRule="auto"/>
              <w:rPr>
                <w:rFonts w:hint="default"/>
                <w:lang w:val="pt-BR"/>
              </w:rPr>
            </w:pPr>
            <w:r>
              <w:rPr>
                <w:rFonts w:hint="default"/>
                <w:lang w:val="pt-BR"/>
              </w:rPr>
              <w:t>Indicador 16B Proposto</w:t>
            </w:r>
          </w:p>
        </w:tc>
        <w:tc>
          <w:tcPr>
            <w:tcW w:w="7605" w:type="dxa"/>
            <w:tcBorders>
              <w:top w:val="outset" w:color="auto" w:sz="6" w:space="0"/>
              <w:left w:val="outset" w:color="auto" w:sz="6" w:space="0"/>
              <w:bottom w:val="outset" w:color="auto" w:sz="6" w:space="0"/>
              <w:right w:val="outset" w:color="auto" w:sz="6" w:space="0"/>
            </w:tcBorders>
          </w:tcPr>
          <w:p w14:paraId="0457B2F4">
            <w:pPr>
              <w:spacing w:after="160" w:line="259" w:lineRule="auto"/>
              <w:rPr>
                <w:rFonts w:hint="default"/>
                <w:lang w:val="pt-BR"/>
              </w:rPr>
            </w:pPr>
            <w:r>
              <w:rPr>
                <w:rFonts w:hint="default"/>
                <w:lang w:val="pt-BR"/>
              </w:rPr>
              <w:t>Replicar o nacional</w:t>
            </w:r>
          </w:p>
        </w:tc>
      </w:tr>
      <w:tr w14:paraId="18F7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20" w:type="dxa"/>
            <w:tcBorders>
              <w:top w:val="nil"/>
              <w:left w:val="outset" w:color="auto" w:sz="6" w:space="0"/>
              <w:bottom w:val="outset" w:color="auto" w:sz="6" w:space="0"/>
              <w:right w:val="outset" w:color="auto" w:sz="6" w:space="0"/>
            </w:tcBorders>
          </w:tcPr>
          <w:p w14:paraId="3CEFB565">
            <w:pPr>
              <w:spacing w:after="160" w:line="259" w:lineRule="auto"/>
            </w:pPr>
            <w:r>
              <w:t>Fórmula de cálculo</w:t>
            </w:r>
          </w:p>
        </w:tc>
        <w:tc>
          <w:tcPr>
            <w:tcW w:w="7605" w:type="dxa"/>
            <w:tcBorders>
              <w:top w:val="nil"/>
              <w:left w:val="outset" w:color="auto" w:sz="6" w:space="0"/>
              <w:bottom w:val="outset" w:color="auto" w:sz="6" w:space="0"/>
              <w:right w:val="outset" w:color="auto" w:sz="6" w:space="0"/>
            </w:tcBorders>
          </w:tcPr>
          <w:p w14:paraId="79D70D9F">
            <w:pPr>
              <w:spacing w:after="160" w:line="259" w:lineRule="auto"/>
            </w:pPr>
            <w:r>
              <w:t>(Professores com formação continuada / Total de professores) x 100</w:t>
            </w:r>
          </w:p>
        </w:tc>
      </w:tr>
      <w:tr w14:paraId="14F3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20" w:type="dxa"/>
            <w:tcBorders>
              <w:top w:val="nil"/>
              <w:left w:val="outset" w:color="auto" w:sz="6" w:space="0"/>
              <w:bottom w:val="outset" w:color="auto" w:sz="6" w:space="0"/>
              <w:right w:val="outset" w:color="auto" w:sz="6" w:space="0"/>
            </w:tcBorders>
          </w:tcPr>
          <w:p w14:paraId="6D8152E2">
            <w:pPr>
              <w:spacing w:after="160" w:line="259" w:lineRule="auto"/>
            </w:pPr>
            <w:r>
              <w:t>Comentário</w:t>
            </w:r>
          </w:p>
        </w:tc>
        <w:tc>
          <w:tcPr>
            <w:tcW w:w="7605" w:type="dxa"/>
            <w:tcBorders>
              <w:top w:val="nil"/>
              <w:left w:val="outset" w:color="auto" w:sz="6" w:space="0"/>
              <w:bottom w:val="outset" w:color="auto" w:sz="6" w:space="0"/>
              <w:right w:val="outset" w:color="auto" w:sz="6" w:space="0"/>
            </w:tcBorders>
          </w:tcPr>
          <w:p w14:paraId="5996478A">
            <w:pPr>
              <w:spacing w:after="160" w:line="259" w:lineRule="auto"/>
              <w:jc w:val="both"/>
              <w:rPr>
                <w:rFonts w:hint="default"/>
                <w:b/>
                <w:lang w:val="pt-BR"/>
              </w:rPr>
            </w:pPr>
            <w:r>
              <w:t xml:space="preserve">Calculado conforme Relatório do 3º Ciclo de Monitoramento das Metas do Plano Nacional de Educação - 2020 (INEP). </w:t>
            </w:r>
            <w:r>
              <w:rPr>
                <w:b/>
              </w:rPr>
              <w:t>* PORÉM, A PARTIR DE 2021 OS ARQUIVOS DE DADOS DO CENSO ESCOLAR DA EDUCAÇÃO BÁSICA DISPONIBILIZADOS PELO INEP, NÃO POSSUEM INFORMAÇÃO DE FORMAÇÃO CONTINUADA. DESSA FORMA, PARA OS MUNICÍPIOS, A SÉRIE HISTÓRICA FICA INTERROMPIDA EM 2021 POR FALTA DE DADOS</w:t>
            </w:r>
            <w:r>
              <w:rPr>
                <w:rFonts w:hint="default"/>
                <w:b/>
                <w:lang w:val="pt-BR"/>
              </w:rPr>
              <w:t>.</w:t>
            </w:r>
          </w:p>
        </w:tc>
      </w:tr>
    </w:tbl>
    <w:p w14:paraId="6E3BED52">
      <w:r>
        <w:t xml:space="preserve"> </w:t>
      </w:r>
    </w:p>
    <w:tbl>
      <w:tblPr>
        <w:tblStyle w:val="9"/>
        <w:tblW w:w="13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1277"/>
        <w:gridCol w:w="1277"/>
        <w:gridCol w:w="1277"/>
        <w:gridCol w:w="1278"/>
        <w:gridCol w:w="1241"/>
        <w:gridCol w:w="1179"/>
        <w:gridCol w:w="1106"/>
        <w:gridCol w:w="996"/>
        <w:gridCol w:w="960"/>
        <w:gridCol w:w="288"/>
        <w:gridCol w:w="673"/>
      </w:tblGrid>
      <w:tr w14:paraId="05BC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0" w:type="dxa"/>
            <w:gridSpan w:val="11"/>
          </w:tcPr>
          <w:p w14:paraId="3938399B">
            <w:pPr>
              <w:rPr>
                <w:rFonts w:hint="default"/>
                <w:b/>
                <w:bCs/>
                <w:vertAlign w:val="baseline"/>
                <w:lang w:val="pt-BR"/>
              </w:rPr>
            </w:pPr>
            <w:r>
              <w:t xml:space="preserve"> </w:t>
            </w:r>
            <w:r>
              <w:rPr>
                <w:b/>
              </w:rPr>
              <w:t xml:space="preserve"> </w:t>
            </w:r>
            <w:r>
              <w:rPr>
                <w:rFonts w:hint="default"/>
                <w:b/>
                <w:bCs/>
                <w:vertAlign w:val="baseline"/>
                <w:lang w:val="pt-BR"/>
              </w:rPr>
              <w:t>Dados/Indicadores: Indicador 16A</w:t>
            </w:r>
          </w:p>
        </w:tc>
        <w:tc>
          <w:tcPr>
            <w:tcW w:w="673" w:type="dxa"/>
          </w:tcPr>
          <w:p w14:paraId="0DC63826">
            <w:pPr>
              <w:jc w:val="center"/>
              <w:rPr>
                <w:rFonts w:hint="default"/>
                <w:b/>
                <w:bCs/>
                <w:vertAlign w:val="baseline"/>
                <w:lang w:val="pt-BR"/>
              </w:rPr>
            </w:pPr>
          </w:p>
        </w:tc>
      </w:tr>
      <w:tr w14:paraId="15D1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481" w:type="dxa"/>
            <w:tcBorders>
              <w:top w:val="outset" w:color="auto" w:sz="6" w:space="0"/>
              <w:left w:val="outset" w:color="auto" w:sz="6" w:space="0"/>
              <w:bottom w:val="outset" w:color="auto" w:sz="6" w:space="0"/>
              <w:right w:val="outset" w:color="auto" w:sz="6" w:space="0"/>
            </w:tcBorders>
          </w:tcPr>
          <w:p w14:paraId="6A91FFDE">
            <w:pPr>
              <w:spacing w:after="160" w:line="259" w:lineRule="auto"/>
            </w:pPr>
          </w:p>
        </w:tc>
        <w:tc>
          <w:tcPr>
            <w:tcW w:w="1277" w:type="dxa"/>
            <w:tcBorders>
              <w:top w:val="outset" w:color="auto" w:sz="6" w:space="0"/>
              <w:left w:val="outset" w:color="auto" w:sz="6" w:space="0"/>
              <w:bottom w:val="outset" w:color="auto" w:sz="6" w:space="0"/>
              <w:right w:val="outset" w:color="auto" w:sz="6" w:space="0"/>
            </w:tcBorders>
          </w:tcPr>
          <w:p w14:paraId="0E50A781">
            <w:pPr>
              <w:spacing w:after="160" w:line="259" w:lineRule="auto"/>
            </w:pPr>
            <w:r>
              <w:t>2014</w:t>
            </w:r>
          </w:p>
        </w:tc>
        <w:tc>
          <w:tcPr>
            <w:tcW w:w="1277" w:type="dxa"/>
            <w:tcBorders>
              <w:top w:val="outset" w:color="auto" w:sz="6" w:space="0"/>
              <w:left w:val="outset" w:color="auto" w:sz="6" w:space="0"/>
              <w:bottom w:val="outset" w:color="auto" w:sz="6" w:space="0"/>
              <w:right w:val="outset" w:color="auto" w:sz="6" w:space="0"/>
            </w:tcBorders>
          </w:tcPr>
          <w:p w14:paraId="5FFF0C50">
            <w:pPr>
              <w:spacing w:after="160" w:line="259" w:lineRule="auto"/>
            </w:pPr>
            <w:r>
              <w:t>2015</w:t>
            </w:r>
          </w:p>
        </w:tc>
        <w:tc>
          <w:tcPr>
            <w:tcW w:w="1277" w:type="dxa"/>
            <w:tcBorders>
              <w:top w:val="outset" w:color="auto" w:sz="6" w:space="0"/>
              <w:left w:val="outset" w:color="auto" w:sz="6" w:space="0"/>
              <w:bottom w:val="outset" w:color="auto" w:sz="6" w:space="0"/>
              <w:right w:val="outset" w:color="auto" w:sz="6" w:space="0"/>
            </w:tcBorders>
          </w:tcPr>
          <w:p w14:paraId="103F3667">
            <w:pPr>
              <w:spacing w:after="160" w:line="259" w:lineRule="auto"/>
            </w:pPr>
            <w:r>
              <w:t>2016</w:t>
            </w:r>
          </w:p>
        </w:tc>
        <w:tc>
          <w:tcPr>
            <w:tcW w:w="1278" w:type="dxa"/>
            <w:tcBorders>
              <w:top w:val="outset" w:color="auto" w:sz="6" w:space="0"/>
              <w:left w:val="outset" w:color="auto" w:sz="6" w:space="0"/>
              <w:bottom w:val="outset" w:color="auto" w:sz="6" w:space="0"/>
              <w:right w:val="outset" w:color="auto" w:sz="6" w:space="0"/>
            </w:tcBorders>
          </w:tcPr>
          <w:p w14:paraId="1176F03D">
            <w:pPr>
              <w:spacing w:after="160" w:line="259" w:lineRule="auto"/>
            </w:pPr>
            <w:r>
              <w:t>2017</w:t>
            </w:r>
          </w:p>
        </w:tc>
        <w:tc>
          <w:tcPr>
            <w:tcW w:w="1241" w:type="dxa"/>
            <w:tcBorders>
              <w:top w:val="outset" w:color="auto" w:sz="6" w:space="0"/>
              <w:left w:val="outset" w:color="auto" w:sz="6" w:space="0"/>
              <w:bottom w:val="outset" w:color="auto" w:sz="6" w:space="0"/>
              <w:right w:val="outset" w:color="auto" w:sz="6" w:space="0"/>
            </w:tcBorders>
          </w:tcPr>
          <w:p w14:paraId="148A388D">
            <w:pPr>
              <w:spacing w:after="160" w:line="259" w:lineRule="auto"/>
            </w:pPr>
            <w:r>
              <w:t>2018</w:t>
            </w:r>
          </w:p>
        </w:tc>
        <w:tc>
          <w:tcPr>
            <w:tcW w:w="1179" w:type="dxa"/>
            <w:tcBorders>
              <w:top w:val="outset" w:color="auto" w:sz="6" w:space="0"/>
              <w:left w:val="outset" w:color="auto" w:sz="6" w:space="0"/>
              <w:bottom w:val="outset" w:color="auto" w:sz="6" w:space="0"/>
              <w:right w:val="outset" w:color="auto" w:sz="6" w:space="0"/>
            </w:tcBorders>
          </w:tcPr>
          <w:p w14:paraId="47FBA9ED">
            <w:pPr>
              <w:spacing w:after="160" w:line="259" w:lineRule="auto"/>
            </w:pPr>
            <w:r>
              <w:t>2019</w:t>
            </w:r>
          </w:p>
        </w:tc>
        <w:tc>
          <w:tcPr>
            <w:tcW w:w="1106" w:type="dxa"/>
            <w:tcBorders>
              <w:top w:val="outset" w:color="auto" w:sz="6" w:space="0"/>
              <w:left w:val="outset" w:color="auto" w:sz="6" w:space="0"/>
              <w:bottom w:val="outset" w:color="auto" w:sz="6" w:space="0"/>
              <w:right w:val="outset" w:color="auto" w:sz="6" w:space="0"/>
            </w:tcBorders>
          </w:tcPr>
          <w:p w14:paraId="61EAABA8">
            <w:pPr>
              <w:spacing w:after="160" w:line="259" w:lineRule="auto"/>
            </w:pPr>
            <w:r>
              <w:t>2020</w:t>
            </w:r>
          </w:p>
        </w:tc>
        <w:tc>
          <w:tcPr>
            <w:tcW w:w="996" w:type="dxa"/>
            <w:tcBorders>
              <w:top w:val="outset" w:color="auto" w:sz="6" w:space="0"/>
              <w:left w:val="outset" w:color="auto" w:sz="6" w:space="0"/>
              <w:bottom w:val="outset" w:color="auto" w:sz="6" w:space="0"/>
              <w:right w:val="outset" w:color="auto" w:sz="6" w:space="0"/>
            </w:tcBorders>
          </w:tcPr>
          <w:p w14:paraId="07BA365D">
            <w:pPr>
              <w:spacing w:after="160" w:line="259" w:lineRule="auto"/>
            </w:pPr>
            <w:r>
              <w:t>2021</w:t>
            </w:r>
          </w:p>
        </w:tc>
        <w:tc>
          <w:tcPr>
            <w:tcW w:w="960" w:type="dxa"/>
            <w:tcBorders>
              <w:top w:val="outset" w:color="auto" w:sz="6" w:space="0"/>
              <w:left w:val="outset" w:color="auto" w:sz="6" w:space="0"/>
              <w:bottom w:val="outset" w:color="auto" w:sz="6" w:space="0"/>
              <w:right w:val="outset" w:color="auto" w:sz="6" w:space="0"/>
            </w:tcBorders>
          </w:tcPr>
          <w:p w14:paraId="266C09B8">
            <w:pPr>
              <w:spacing w:after="160" w:line="259" w:lineRule="auto"/>
            </w:pPr>
            <w:r>
              <w:t>2022</w:t>
            </w:r>
          </w:p>
        </w:tc>
        <w:tc>
          <w:tcPr>
            <w:tcW w:w="960" w:type="dxa"/>
            <w:gridSpan w:val="2"/>
            <w:tcBorders>
              <w:top w:val="outset" w:color="auto" w:sz="6" w:space="0"/>
              <w:left w:val="outset" w:color="auto" w:sz="6" w:space="0"/>
              <w:bottom w:val="outset" w:color="auto" w:sz="6" w:space="0"/>
              <w:right w:val="outset" w:color="auto" w:sz="6" w:space="0"/>
            </w:tcBorders>
          </w:tcPr>
          <w:p w14:paraId="37B945F9">
            <w:pPr>
              <w:spacing w:after="160" w:line="259" w:lineRule="auto"/>
              <w:rPr>
                <w:rFonts w:hint="default"/>
                <w:lang w:val="pt-BR"/>
              </w:rPr>
            </w:pPr>
            <w:r>
              <w:rPr>
                <w:rFonts w:hint="default"/>
                <w:lang w:val="pt-BR"/>
              </w:rPr>
              <w:t>2023</w:t>
            </w:r>
          </w:p>
        </w:tc>
      </w:tr>
      <w:tr w14:paraId="2CE6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481" w:type="dxa"/>
            <w:tcBorders>
              <w:top w:val="nil"/>
              <w:left w:val="outset" w:color="auto" w:sz="6" w:space="0"/>
              <w:bottom w:val="outset" w:color="auto" w:sz="6" w:space="0"/>
              <w:right w:val="outset" w:color="auto" w:sz="6" w:space="0"/>
            </w:tcBorders>
          </w:tcPr>
          <w:p w14:paraId="0EF90AE7">
            <w:pPr>
              <w:spacing w:after="160" w:line="259" w:lineRule="auto"/>
            </w:pPr>
            <w:r>
              <w:t>Indicador 2</w:t>
            </w:r>
          </w:p>
        </w:tc>
        <w:tc>
          <w:tcPr>
            <w:tcW w:w="1277" w:type="dxa"/>
            <w:tcBorders>
              <w:top w:val="nil"/>
              <w:left w:val="outset" w:color="auto" w:sz="6" w:space="0"/>
              <w:bottom w:val="outset" w:color="auto" w:sz="6" w:space="0"/>
              <w:right w:val="outset" w:color="auto" w:sz="6" w:space="0"/>
            </w:tcBorders>
          </w:tcPr>
          <w:p w14:paraId="7EE8FDB3">
            <w:pPr>
              <w:spacing w:after="160" w:line="259" w:lineRule="auto"/>
            </w:pPr>
            <w:r>
              <w:t>67,8%</w:t>
            </w:r>
          </w:p>
        </w:tc>
        <w:tc>
          <w:tcPr>
            <w:tcW w:w="1277" w:type="dxa"/>
            <w:tcBorders>
              <w:top w:val="nil"/>
              <w:left w:val="outset" w:color="auto" w:sz="6" w:space="0"/>
              <w:bottom w:val="outset" w:color="auto" w:sz="6" w:space="0"/>
              <w:right w:val="outset" w:color="auto" w:sz="6" w:space="0"/>
            </w:tcBorders>
          </w:tcPr>
          <w:p w14:paraId="1E20287E">
            <w:pPr>
              <w:spacing w:after="160" w:line="259" w:lineRule="auto"/>
            </w:pPr>
            <w:r>
              <w:t>49,3%</w:t>
            </w:r>
          </w:p>
        </w:tc>
        <w:tc>
          <w:tcPr>
            <w:tcW w:w="1277" w:type="dxa"/>
            <w:tcBorders>
              <w:top w:val="nil"/>
              <w:left w:val="outset" w:color="auto" w:sz="6" w:space="0"/>
              <w:bottom w:val="outset" w:color="auto" w:sz="6" w:space="0"/>
              <w:right w:val="outset" w:color="auto" w:sz="6" w:space="0"/>
            </w:tcBorders>
          </w:tcPr>
          <w:p w14:paraId="745D34C1">
            <w:pPr>
              <w:spacing w:after="160" w:line="259" w:lineRule="auto"/>
            </w:pPr>
            <w:r>
              <w:t>64,1%</w:t>
            </w:r>
          </w:p>
        </w:tc>
        <w:tc>
          <w:tcPr>
            <w:tcW w:w="1278" w:type="dxa"/>
            <w:tcBorders>
              <w:top w:val="nil"/>
              <w:left w:val="outset" w:color="auto" w:sz="6" w:space="0"/>
              <w:bottom w:val="outset" w:color="auto" w:sz="6" w:space="0"/>
              <w:right w:val="outset" w:color="auto" w:sz="6" w:space="0"/>
            </w:tcBorders>
          </w:tcPr>
          <w:p w14:paraId="58B1CADB">
            <w:pPr>
              <w:spacing w:after="160" w:line="259" w:lineRule="auto"/>
            </w:pPr>
            <w:r>
              <w:t>78,9%</w:t>
            </w:r>
          </w:p>
        </w:tc>
        <w:tc>
          <w:tcPr>
            <w:tcW w:w="1241" w:type="dxa"/>
            <w:tcBorders>
              <w:top w:val="nil"/>
              <w:left w:val="outset" w:color="auto" w:sz="6" w:space="0"/>
              <w:bottom w:val="outset" w:color="auto" w:sz="6" w:space="0"/>
              <w:right w:val="outset" w:color="auto" w:sz="6" w:space="0"/>
            </w:tcBorders>
          </w:tcPr>
          <w:p w14:paraId="33DA1DBB">
            <w:pPr>
              <w:spacing w:after="160" w:line="259" w:lineRule="auto"/>
            </w:pPr>
            <w:r>
              <w:t>71,6%</w:t>
            </w:r>
          </w:p>
        </w:tc>
        <w:tc>
          <w:tcPr>
            <w:tcW w:w="1179" w:type="dxa"/>
            <w:tcBorders>
              <w:top w:val="nil"/>
              <w:left w:val="outset" w:color="auto" w:sz="6" w:space="0"/>
              <w:bottom w:val="outset" w:color="auto" w:sz="6" w:space="0"/>
              <w:right w:val="outset" w:color="auto" w:sz="6" w:space="0"/>
            </w:tcBorders>
          </w:tcPr>
          <w:p w14:paraId="643F1F7D">
            <w:pPr>
              <w:spacing w:after="160" w:line="259" w:lineRule="auto"/>
            </w:pPr>
            <w:r>
              <w:t>75,2%</w:t>
            </w:r>
          </w:p>
        </w:tc>
        <w:tc>
          <w:tcPr>
            <w:tcW w:w="1106" w:type="dxa"/>
            <w:tcBorders>
              <w:top w:val="nil"/>
              <w:left w:val="outset" w:color="auto" w:sz="6" w:space="0"/>
              <w:bottom w:val="outset" w:color="auto" w:sz="6" w:space="0"/>
              <w:right w:val="outset" w:color="auto" w:sz="6" w:space="0"/>
            </w:tcBorders>
          </w:tcPr>
          <w:p w14:paraId="66EE8B6B">
            <w:pPr>
              <w:spacing w:after="160" w:line="259" w:lineRule="auto"/>
            </w:pPr>
            <w:r>
              <w:t>83,9%</w:t>
            </w:r>
          </w:p>
        </w:tc>
        <w:tc>
          <w:tcPr>
            <w:tcW w:w="996" w:type="dxa"/>
            <w:tcBorders>
              <w:top w:val="nil"/>
              <w:left w:val="outset" w:color="auto" w:sz="6" w:space="0"/>
              <w:bottom w:val="outset" w:color="auto" w:sz="6" w:space="0"/>
              <w:right w:val="outset" w:color="auto" w:sz="6" w:space="0"/>
            </w:tcBorders>
          </w:tcPr>
          <w:p w14:paraId="0FB5A819">
            <w:pPr>
              <w:spacing w:after="160" w:line="259" w:lineRule="auto"/>
            </w:pPr>
            <w:r>
              <w:t>-</w:t>
            </w:r>
          </w:p>
        </w:tc>
        <w:tc>
          <w:tcPr>
            <w:tcW w:w="960" w:type="dxa"/>
            <w:tcBorders>
              <w:top w:val="nil"/>
              <w:left w:val="outset" w:color="auto" w:sz="6" w:space="0"/>
              <w:bottom w:val="outset" w:color="auto" w:sz="6" w:space="0"/>
              <w:right w:val="outset" w:color="auto" w:sz="6" w:space="0"/>
            </w:tcBorders>
          </w:tcPr>
          <w:p w14:paraId="38969787">
            <w:pPr>
              <w:spacing w:after="160" w:line="259" w:lineRule="auto"/>
            </w:pPr>
            <w:r>
              <w:t>-</w:t>
            </w:r>
          </w:p>
        </w:tc>
        <w:tc>
          <w:tcPr>
            <w:tcW w:w="960" w:type="dxa"/>
            <w:gridSpan w:val="2"/>
            <w:tcBorders>
              <w:top w:val="nil"/>
              <w:left w:val="outset" w:color="auto" w:sz="6" w:space="0"/>
              <w:bottom w:val="outset" w:color="auto" w:sz="6" w:space="0"/>
              <w:right w:val="outset" w:color="auto" w:sz="6" w:space="0"/>
            </w:tcBorders>
          </w:tcPr>
          <w:p w14:paraId="56B64403">
            <w:pPr>
              <w:spacing w:after="160" w:line="259" w:lineRule="auto"/>
              <w:rPr>
                <w:rFonts w:hint="default"/>
                <w:lang w:val="pt-BR"/>
              </w:rPr>
            </w:pPr>
            <w:r>
              <w:rPr>
                <w:rFonts w:hint="default"/>
                <w:lang w:val="pt-BR"/>
              </w:rPr>
              <w:t>-</w:t>
            </w:r>
          </w:p>
        </w:tc>
      </w:tr>
      <w:tr w14:paraId="3972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2" w:type="dxa"/>
            <w:gridSpan w:val="10"/>
          </w:tcPr>
          <w:p w14:paraId="511E4FD2">
            <w:pPr>
              <w:jc w:val="center"/>
              <w:rPr>
                <w:rFonts w:hint="default"/>
                <w:vertAlign w:val="baseline"/>
                <w:lang w:val="pt-BR"/>
              </w:rPr>
            </w:pPr>
            <w:r>
              <w:rPr>
                <w:rFonts w:hint="default"/>
                <w:vertAlign w:val="baseline"/>
                <w:lang w:val="pt-BR"/>
              </w:rPr>
              <w:t>Fonte: INEP - Censo Escolar da Educação Básica</w:t>
            </w:r>
          </w:p>
        </w:tc>
        <w:tc>
          <w:tcPr>
            <w:tcW w:w="960" w:type="dxa"/>
            <w:gridSpan w:val="2"/>
          </w:tcPr>
          <w:p w14:paraId="528872B1">
            <w:pPr>
              <w:jc w:val="center"/>
            </w:pPr>
          </w:p>
        </w:tc>
      </w:tr>
    </w:tbl>
    <w:p w14:paraId="3C0533B1"/>
    <w:p w14:paraId="10891C88">
      <w:pPr>
        <w:spacing w:line="360" w:lineRule="auto"/>
        <w:ind w:firstLine="708" w:firstLineChars="0"/>
        <w:jc w:val="both"/>
      </w:pPr>
      <w:r>
        <w:t>Com relação dos professores da Educação Básica com nível de pós-graduação, a grande maioria possui especialização.</w:t>
      </w:r>
    </w:p>
    <w:p w14:paraId="007EDF69">
      <w:pPr>
        <w:spacing w:line="360" w:lineRule="auto"/>
        <w:ind w:firstLine="708" w:firstLineChars="0"/>
        <w:jc w:val="both"/>
      </w:pPr>
      <w:r>
        <w:t xml:space="preserve">E quanto a garantia da formação continuada, o Departamento Municipal de Educação oferece anualmente 40 horas de cursos de formação continuada aos professores, com datas previstas no calendário escolar. </w:t>
      </w:r>
    </w:p>
    <w:p w14:paraId="0612EBC8">
      <w:pPr>
        <w:spacing w:line="360" w:lineRule="auto"/>
        <w:ind w:firstLine="708" w:firstLineChars="0"/>
        <w:jc w:val="both"/>
      </w:pPr>
    </w:p>
    <w:p w14:paraId="102179C1">
      <w:pPr>
        <w:spacing w:line="360" w:lineRule="auto"/>
        <w:ind w:firstLine="708" w:firstLineChars="0"/>
        <w:jc w:val="both"/>
      </w:pPr>
    </w:p>
    <w:p w14:paraId="65AF3713">
      <w:pPr>
        <w:spacing w:line="360" w:lineRule="auto"/>
        <w:ind w:firstLine="708" w:firstLineChars="0"/>
        <w:jc w:val="both"/>
      </w:pPr>
    </w:p>
    <w:p w14:paraId="70606751">
      <w:pPr>
        <w:spacing w:line="360" w:lineRule="auto"/>
        <w:ind w:firstLine="708" w:firstLineChars="0"/>
        <w:jc w:val="both"/>
      </w:pP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6532"/>
        <w:gridCol w:w="89"/>
      </w:tblGrid>
      <w:tr w14:paraId="4E6A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3"/>
          </w:tcPr>
          <w:p w14:paraId="02E13DA9">
            <w:pPr>
              <w:rPr>
                <w:rFonts w:hint="default"/>
                <w:b/>
                <w:bCs/>
                <w:vertAlign w:val="baseline"/>
                <w:lang w:val="pt-BR"/>
              </w:rPr>
            </w:pPr>
            <w:r>
              <w:t xml:space="preserve">  </w:t>
            </w:r>
            <w:r>
              <w:rPr>
                <w:rFonts w:hint="default"/>
                <w:b/>
                <w:bCs/>
                <w:vertAlign w:val="baseline"/>
                <w:lang w:val="pt-BR"/>
              </w:rPr>
              <w:t>Ficha metodológica para o indicador 17A - base PNE</w:t>
            </w:r>
          </w:p>
        </w:tc>
      </w:tr>
      <w:tr w14:paraId="66C6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6C878044">
            <w:pPr>
              <w:spacing w:after="160" w:line="259" w:lineRule="auto"/>
              <w:rPr>
                <w:b/>
              </w:rPr>
            </w:pPr>
            <w:r>
              <w:rPr>
                <w:b/>
              </w:rPr>
              <w:t>Meta</w:t>
            </w:r>
          </w:p>
        </w:tc>
        <w:tc>
          <w:tcPr>
            <w:tcW w:w="6532" w:type="dxa"/>
            <w:tcBorders>
              <w:top w:val="outset" w:color="auto" w:sz="6" w:space="0"/>
              <w:left w:val="outset" w:color="auto" w:sz="6" w:space="0"/>
              <w:bottom w:val="outset" w:color="auto" w:sz="6" w:space="0"/>
              <w:right w:val="outset" w:color="auto" w:sz="6" w:space="0"/>
            </w:tcBorders>
          </w:tcPr>
          <w:p w14:paraId="6327752E">
            <w:pPr>
              <w:spacing w:after="160" w:line="259" w:lineRule="auto"/>
              <w:rPr>
                <w:b/>
              </w:rPr>
            </w:pPr>
            <w:r>
              <w:rPr>
                <w:b/>
              </w:rPr>
              <w:t>Texto da meta</w:t>
            </w:r>
          </w:p>
        </w:tc>
      </w:tr>
      <w:tr w14:paraId="2B8A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0FB1F497">
            <w:pPr>
              <w:spacing w:after="160" w:line="259" w:lineRule="auto"/>
            </w:pPr>
            <w:r>
              <w:t>17</w:t>
            </w:r>
          </w:p>
          <w:p w14:paraId="741F4027">
            <w:pPr>
              <w:spacing w:after="160" w:line="259" w:lineRule="auto"/>
            </w:pPr>
          </w:p>
          <w:p w14:paraId="6C574058">
            <w:pPr>
              <w:spacing w:after="160" w:line="259" w:lineRule="auto"/>
            </w:pPr>
          </w:p>
        </w:tc>
        <w:tc>
          <w:tcPr>
            <w:tcW w:w="6532" w:type="dxa"/>
            <w:tcBorders>
              <w:top w:val="nil"/>
              <w:left w:val="outset" w:color="auto" w:sz="6" w:space="0"/>
              <w:bottom w:val="outset" w:color="auto" w:sz="6" w:space="0"/>
              <w:right w:val="outset" w:color="auto" w:sz="6" w:space="0"/>
            </w:tcBorders>
          </w:tcPr>
          <w:p w14:paraId="375A7195">
            <w:pPr>
              <w:spacing w:after="160" w:line="259" w:lineRule="auto"/>
              <w:jc w:val="both"/>
              <w:rPr>
                <w:i/>
              </w:rPr>
            </w:pPr>
            <w:r>
              <w:rPr>
                <w:bCs/>
              </w:rPr>
              <w:t>Valorizar os (as) profissionais do magistério da rede pública de educação básica do Município de forma a equiparar seu rendimento médio ao dos (as) demais profissionais com escolaridade equivalente, até o final do terceiro ano de vigência deste PME</w:t>
            </w:r>
            <w:r>
              <w:rPr>
                <w:b/>
                <w:bCs/>
              </w:rPr>
              <w:t>.</w:t>
            </w:r>
          </w:p>
        </w:tc>
      </w:tr>
      <w:tr w14:paraId="721F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06695CFC">
            <w:pPr>
              <w:spacing w:after="160" w:line="259" w:lineRule="auto"/>
              <w:rPr>
                <w:rFonts w:hint="default"/>
                <w:lang w:val="pt-BR"/>
              </w:rPr>
            </w:pPr>
            <w:r>
              <w:rPr>
                <w:rFonts w:hint="default"/>
                <w:lang w:val="pt-BR"/>
              </w:rPr>
              <w:t>Indicador 17A Nacional</w:t>
            </w:r>
          </w:p>
        </w:tc>
        <w:tc>
          <w:tcPr>
            <w:tcW w:w="6532" w:type="dxa"/>
            <w:tcBorders>
              <w:top w:val="outset" w:color="auto" w:sz="6" w:space="0"/>
              <w:left w:val="outset" w:color="auto" w:sz="6" w:space="0"/>
              <w:bottom w:val="outset" w:color="auto" w:sz="6" w:space="0"/>
              <w:right w:val="outset" w:color="auto" w:sz="6" w:space="0"/>
            </w:tcBorders>
          </w:tcPr>
          <w:p w14:paraId="128AC6E7">
            <w:pPr>
              <w:spacing w:after="160" w:line="259" w:lineRule="auto"/>
              <w:jc w:val="both"/>
              <w:rPr>
                <w:rFonts w:hint="default"/>
                <w:lang w:val="pt-BR"/>
              </w:rPr>
            </w:pPr>
            <w:r>
              <w:rPr>
                <w:rFonts w:hint="default"/>
                <w:lang w:val="pt-BR"/>
              </w:rPr>
              <w:t>Relação percentual entre o rendimento bruto médio mensal dos profissionais do magistério das redes públicas da educação básica, com nível superior completo, e o rendimento bruto médio mensal dos demais profissionais assalariados, com nível superior completo.</w:t>
            </w:r>
          </w:p>
        </w:tc>
      </w:tr>
      <w:tr w14:paraId="3A45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7B601967">
            <w:pPr>
              <w:spacing w:after="160" w:line="259" w:lineRule="auto"/>
              <w:rPr>
                <w:rFonts w:hint="default"/>
                <w:lang w:val="pt-BR"/>
              </w:rPr>
            </w:pPr>
            <w:r>
              <w:t>Indicador 1</w:t>
            </w:r>
            <w:r>
              <w:rPr>
                <w:rFonts w:hint="default"/>
                <w:lang w:val="pt-BR"/>
              </w:rPr>
              <w:t>7A Proposto</w:t>
            </w:r>
          </w:p>
        </w:tc>
        <w:tc>
          <w:tcPr>
            <w:tcW w:w="6532" w:type="dxa"/>
            <w:tcBorders>
              <w:top w:val="outset" w:color="auto" w:sz="6" w:space="0"/>
              <w:left w:val="outset" w:color="auto" w:sz="6" w:space="0"/>
              <w:bottom w:val="outset" w:color="auto" w:sz="6" w:space="0"/>
              <w:right w:val="outset" w:color="auto" w:sz="6" w:space="0"/>
            </w:tcBorders>
          </w:tcPr>
          <w:p w14:paraId="59968E99">
            <w:pPr>
              <w:spacing w:after="160" w:line="259" w:lineRule="auto"/>
              <w:jc w:val="both"/>
            </w:pPr>
            <w:r>
              <w:t>Nenhum</w:t>
            </w:r>
          </w:p>
        </w:tc>
      </w:tr>
      <w:tr w14:paraId="6EDD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3A5B79D4">
            <w:pPr>
              <w:spacing w:after="160" w:line="259" w:lineRule="auto"/>
            </w:pPr>
            <w:r>
              <w:t>Fórmula de cálculo</w:t>
            </w:r>
          </w:p>
        </w:tc>
        <w:tc>
          <w:tcPr>
            <w:tcW w:w="6532" w:type="dxa"/>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36"/>
              <w:gridCol w:w="6466"/>
            </w:tblGrid>
            <w:tr w14:paraId="346E03B5">
              <w:tblPrEx>
                <w:tblCellMar>
                  <w:top w:w="15" w:type="dxa"/>
                  <w:left w:w="15" w:type="dxa"/>
                  <w:bottom w:w="15" w:type="dxa"/>
                  <w:right w:w="15" w:type="dxa"/>
                </w:tblCellMar>
              </w:tblPrEx>
              <w:tc>
                <w:tcPr>
                  <w:tcW w:w="0" w:type="auto"/>
                  <w:tcBorders>
                    <w:top w:val="nil"/>
                    <w:left w:val="nil"/>
                    <w:bottom w:val="nil"/>
                    <w:right w:val="nil"/>
                  </w:tcBorders>
                </w:tcPr>
                <w:p w14:paraId="1B3EB1E2">
                  <w:pPr>
                    <w:jc w:val="both"/>
                  </w:pPr>
                </w:p>
                <w:p w14:paraId="71E197D9">
                  <w:pPr>
                    <w:jc w:val="both"/>
                  </w:pPr>
                </w:p>
              </w:tc>
              <w:tc>
                <w:tcPr>
                  <w:tcW w:w="0" w:type="auto"/>
                  <w:tcBorders>
                    <w:top w:val="nil"/>
                    <w:left w:val="nil"/>
                    <w:bottom w:val="nil"/>
                    <w:right w:val="nil"/>
                  </w:tcBorders>
                </w:tcPr>
                <w:p w14:paraId="4BFAB1D3">
                  <w:pPr>
                    <w:jc w:val="both"/>
                  </w:pPr>
                  <w:r>
                    <w:t>(Rendimento bruto médio mensal dos profissionais do magistério das redes públicas de educação básica, com nível superior completo / Rendimento bruto médio mensal dos demais profissionais assalariados com nível superior de escolaridade) x 100</w:t>
                  </w:r>
                </w:p>
              </w:tc>
            </w:tr>
          </w:tbl>
          <w:p w14:paraId="68434C91">
            <w:pPr>
              <w:spacing w:after="160" w:line="259" w:lineRule="auto"/>
              <w:jc w:val="both"/>
            </w:pPr>
          </w:p>
        </w:tc>
      </w:tr>
      <w:tr w14:paraId="18A1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7DA99C83">
            <w:pPr>
              <w:spacing w:after="160" w:line="259" w:lineRule="auto"/>
            </w:pPr>
            <w:r>
              <w:t>Justificativa</w:t>
            </w:r>
          </w:p>
        </w:tc>
        <w:tc>
          <w:tcPr>
            <w:tcW w:w="6532" w:type="dxa"/>
            <w:tcBorders>
              <w:top w:val="nil"/>
              <w:left w:val="outset" w:color="auto" w:sz="6" w:space="0"/>
              <w:bottom w:val="outset" w:color="auto" w:sz="6" w:space="0"/>
              <w:right w:val="outset" w:color="auto" w:sz="6" w:space="0"/>
            </w:tcBorders>
          </w:tcPr>
          <w:p w14:paraId="31B510BF">
            <w:pPr>
              <w:spacing w:after="160" w:line="259" w:lineRule="auto"/>
              <w:jc w:val="both"/>
            </w:pPr>
            <w:r>
              <w:t>Inviável para município. A) PNAD é pesquisa amostra, não identificando-se, portanto, fonte de dados publicados, desagregados e atualizados por município sobre rendimento médio de profissionais do magistério e demais profissionais assalariados; B) Tentou-se utilizar a RAIS como alternativa, no entando todos os professores estaduais encontram-se registrados na capital do estado (Curitiba) e consta na base de dados 94 municípios sem registros para professores na rede municipal.</w:t>
            </w:r>
          </w:p>
        </w:tc>
      </w:tr>
    </w:tbl>
    <w:p w14:paraId="44282D9C">
      <w:r>
        <w:t xml:space="preserve"> </w:t>
      </w:r>
    </w:p>
    <w:p w14:paraId="0EAB12B4">
      <w:pPr>
        <w:spacing w:line="360" w:lineRule="auto"/>
        <w:ind w:firstLine="708" w:firstLineChars="0"/>
        <w:jc w:val="both"/>
      </w:pPr>
      <w:r>
        <w:t xml:space="preserve">Com a reformulação do Plano de Carreira (27/12/2017) o Município se adequou conforme as novas normas e diretrizes que regem a   educação, visando a qualificação e incentivo do professor a buscar novos conhecimentos na área de atuação. </w:t>
      </w:r>
    </w:p>
    <w:p w14:paraId="17C0C0DB">
      <w:pPr>
        <w:spacing w:line="360" w:lineRule="auto"/>
        <w:ind w:firstLine="708" w:firstLineChars="0"/>
        <w:jc w:val="both"/>
      </w:pPr>
      <w:r>
        <w:t>No último concurso realizado no Município, permitiu a entrada de novos professores em nível de magistério.</w:t>
      </w:r>
    </w:p>
    <w:p w14:paraId="617D9CA5">
      <w:pPr>
        <w:spacing w:line="360" w:lineRule="auto"/>
        <w:ind w:firstLine="708" w:firstLineChars="0"/>
        <w:jc w:val="both"/>
      </w:pPr>
      <w:r>
        <w:t xml:space="preserve">A Hora Atividade prevista em 33% está sendo cumprida em 30%. </w:t>
      </w: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12"/>
        <w:gridCol w:w="6520"/>
        <w:gridCol w:w="89"/>
      </w:tblGrid>
      <w:tr w14:paraId="6D87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39091099">
            <w:pPr>
              <w:jc w:val="both"/>
              <w:rPr>
                <w:rFonts w:hint="default"/>
                <w:b/>
                <w:bCs/>
                <w:vertAlign w:val="baseline"/>
                <w:lang w:val="pt-BR"/>
              </w:rPr>
            </w:pPr>
            <w:r>
              <w:t xml:space="preserve"> </w:t>
            </w:r>
            <w:r>
              <w:rPr>
                <w:rFonts w:hint="default"/>
                <w:b/>
                <w:bCs/>
                <w:vertAlign w:val="baseline"/>
                <w:lang w:val="pt-BR"/>
              </w:rPr>
              <w:t>Ficha metodológica para o indicador 18A - base PNE</w:t>
            </w:r>
          </w:p>
        </w:tc>
      </w:tr>
      <w:tr w14:paraId="12CA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6A60EC74">
            <w:pPr>
              <w:spacing w:after="160" w:line="259" w:lineRule="auto"/>
              <w:rPr>
                <w:b/>
              </w:rPr>
            </w:pP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405207A7">
            <w:pPr>
              <w:spacing w:after="160" w:line="259" w:lineRule="auto"/>
              <w:rPr>
                <w:b/>
              </w:rPr>
            </w:pPr>
            <w:r>
              <w:rPr>
                <w:b/>
              </w:rPr>
              <w:t>Texto da meta</w:t>
            </w:r>
          </w:p>
        </w:tc>
      </w:tr>
      <w:tr w14:paraId="678B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35907EA9">
            <w:pPr>
              <w:spacing w:after="160" w:line="259" w:lineRule="auto"/>
            </w:pPr>
            <w:r>
              <w:t>18</w:t>
            </w:r>
          </w:p>
          <w:p w14:paraId="2CFF17B0">
            <w:pPr>
              <w:spacing w:after="160" w:line="259" w:lineRule="auto"/>
            </w:pPr>
          </w:p>
          <w:p w14:paraId="5214FAE6">
            <w:pPr>
              <w:spacing w:after="160" w:line="259" w:lineRule="auto"/>
            </w:pPr>
          </w:p>
        </w:tc>
        <w:tc>
          <w:tcPr>
            <w:tcW w:w="6532" w:type="dxa"/>
            <w:gridSpan w:val="2"/>
            <w:tcBorders>
              <w:top w:val="nil"/>
              <w:left w:val="outset" w:color="auto" w:sz="6" w:space="0"/>
              <w:bottom w:val="outset" w:color="auto" w:sz="6" w:space="0"/>
              <w:right w:val="outset" w:color="auto" w:sz="6" w:space="0"/>
            </w:tcBorders>
          </w:tcPr>
          <w:p w14:paraId="0399A135">
            <w:pPr>
              <w:spacing w:after="160" w:line="259" w:lineRule="auto"/>
              <w:jc w:val="both"/>
              <w:rPr>
                <w:i/>
              </w:rPr>
            </w:pPr>
            <w:r>
              <w:rPr>
                <w:bCs/>
              </w:rPr>
              <w:t>Assegurar, a atualização e implantação do plano de carreira para os profissionais da Educação Básica pública do município e tomar como referência o Piso Salarial Nacional Profissional, definido em lei federal, nos termos do inciso VIII do art. 206 Constituição Federal.</w:t>
            </w:r>
          </w:p>
        </w:tc>
      </w:tr>
      <w:tr w14:paraId="4D78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6" w:type="dxa"/>
            <w:gridSpan w:val="2"/>
            <w:tcBorders>
              <w:top w:val="outset" w:color="auto" w:sz="6" w:space="0"/>
              <w:left w:val="outset" w:color="auto" w:sz="6" w:space="0"/>
              <w:bottom w:val="outset" w:color="auto" w:sz="6" w:space="0"/>
              <w:right w:val="outset" w:color="auto" w:sz="6" w:space="0"/>
            </w:tcBorders>
          </w:tcPr>
          <w:p w14:paraId="3DA2997B">
            <w:pPr>
              <w:spacing w:after="160" w:line="259" w:lineRule="auto"/>
              <w:rPr>
                <w:rFonts w:hint="default"/>
                <w:lang w:val="pt-BR"/>
              </w:rPr>
            </w:pPr>
            <w:r>
              <w:t>Indicador 1</w:t>
            </w:r>
            <w:r>
              <w:rPr>
                <w:rFonts w:hint="default"/>
                <w:lang w:val="pt-BR"/>
              </w:rPr>
              <w:t>8 A Nacional</w:t>
            </w:r>
          </w:p>
        </w:tc>
        <w:tc>
          <w:tcPr>
            <w:tcW w:w="6520" w:type="dxa"/>
            <w:tcBorders>
              <w:top w:val="outset" w:color="auto" w:sz="6" w:space="0"/>
              <w:left w:val="outset" w:color="auto" w:sz="6" w:space="0"/>
              <w:bottom w:val="outset" w:color="auto" w:sz="6" w:space="0"/>
              <w:right w:val="outset" w:color="auto" w:sz="6" w:space="0"/>
            </w:tcBorders>
          </w:tcPr>
          <w:p w14:paraId="4736CC82">
            <w:pPr>
              <w:spacing w:after="160" w:line="259" w:lineRule="auto"/>
              <w:rPr>
                <w:rFonts w:hint="default"/>
                <w:lang w:val="pt-BR"/>
              </w:rPr>
            </w:pPr>
            <w:r>
              <w:t>Percentual de unidades federativas que possuem PCR dos profissionais do magistério</w:t>
            </w:r>
            <w:r>
              <w:rPr>
                <w:rFonts w:hint="default"/>
                <w:lang w:val="pt-BR"/>
              </w:rPr>
              <w:t>.</w:t>
            </w:r>
          </w:p>
        </w:tc>
      </w:tr>
      <w:tr w14:paraId="7966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6" w:type="dxa"/>
            <w:gridSpan w:val="2"/>
            <w:tcBorders>
              <w:top w:val="outset" w:color="auto" w:sz="6" w:space="0"/>
              <w:left w:val="outset" w:color="auto" w:sz="6" w:space="0"/>
              <w:bottom w:val="outset" w:color="auto" w:sz="6" w:space="0"/>
              <w:right w:val="outset" w:color="auto" w:sz="6" w:space="0"/>
            </w:tcBorders>
          </w:tcPr>
          <w:p w14:paraId="06B988FC">
            <w:pPr>
              <w:spacing w:after="160" w:line="259" w:lineRule="auto"/>
              <w:rPr>
                <w:rFonts w:hint="default"/>
                <w:lang w:val="pt-BR"/>
              </w:rPr>
            </w:pPr>
            <w:r>
              <w:rPr>
                <w:rFonts w:hint="default"/>
                <w:lang w:val="pt-BR"/>
              </w:rPr>
              <w:t>Indicador 18 A Proposto</w:t>
            </w:r>
          </w:p>
        </w:tc>
        <w:tc>
          <w:tcPr>
            <w:tcW w:w="6520" w:type="dxa"/>
            <w:tcBorders>
              <w:top w:val="outset" w:color="auto" w:sz="6" w:space="0"/>
              <w:left w:val="outset" w:color="auto" w:sz="6" w:space="0"/>
              <w:bottom w:val="outset" w:color="auto" w:sz="6" w:space="0"/>
              <w:right w:val="outset" w:color="auto" w:sz="6" w:space="0"/>
            </w:tcBorders>
          </w:tcPr>
          <w:p w14:paraId="39809D7D">
            <w:pPr>
              <w:spacing w:after="160" w:line="259" w:lineRule="auto"/>
              <w:rPr>
                <w:rFonts w:hint="default"/>
                <w:lang w:val="pt-BR"/>
              </w:rPr>
            </w:pPr>
            <w:r>
              <w:rPr>
                <w:rFonts w:hint="default"/>
                <w:lang w:val="pt-BR"/>
              </w:rPr>
              <w:t>Nenhum</w:t>
            </w:r>
          </w:p>
        </w:tc>
      </w:tr>
      <w:tr w14:paraId="23CB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6" w:type="dxa"/>
            <w:gridSpan w:val="2"/>
            <w:tcBorders>
              <w:top w:val="nil"/>
              <w:left w:val="outset" w:color="auto" w:sz="6" w:space="0"/>
              <w:bottom w:val="outset" w:color="auto" w:sz="6" w:space="0"/>
              <w:right w:val="outset" w:color="auto" w:sz="6" w:space="0"/>
            </w:tcBorders>
          </w:tcPr>
          <w:p w14:paraId="0361257D">
            <w:pPr>
              <w:spacing w:after="160" w:line="259" w:lineRule="auto"/>
            </w:pPr>
            <w:r>
              <w:t>Fórmula de cálculo</w:t>
            </w:r>
          </w:p>
        </w:tc>
        <w:tc>
          <w:tcPr>
            <w:tcW w:w="6520" w:type="dxa"/>
            <w:tcBorders>
              <w:top w:val="nil"/>
              <w:left w:val="outset" w:color="auto" w:sz="6" w:space="0"/>
              <w:bottom w:val="outset" w:color="auto" w:sz="6" w:space="0"/>
              <w:right w:val="outset" w:color="auto" w:sz="6" w:space="0"/>
            </w:tcBorders>
          </w:tcPr>
          <w:p w14:paraId="742D2685">
            <w:pPr>
              <w:spacing w:after="160" w:line="259" w:lineRule="auto"/>
              <w:jc w:val="both"/>
            </w:pPr>
            <w:r>
              <w:t>(Unidades federativas com PCR vigentes / Total de unidades federativas) x 100</w:t>
            </w:r>
          </w:p>
        </w:tc>
      </w:tr>
      <w:tr w14:paraId="3E8B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6" w:type="dxa"/>
            <w:gridSpan w:val="2"/>
            <w:tcBorders>
              <w:top w:val="nil"/>
              <w:left w:val="outset" w:color="auto" w:sz="6" w:space="0"/>
              <w:bottom w:val="outset" w:color="auto" w:sz="6" w:space="0"/>
              <w:right w:val="outset" w:color="auto" w:sz="6" w:space="0"/>
            </w:tcBorders>
          </w:tcPr>
          <w:p w14:paraId="6846126C">
            <w:pPr>
              <w:spacing w:after="160" w:line="259" w:lineRule="auto"/>
            </w:pPr>
            <w:r>
              <w:t>Comentário</w:t>
            </w:r>
          </w:p>
        </w:tc>
        <w:tc>
          <w:tcPr>
            <w:tcW w:w="6520" w:type="dxa"/>
            <w:tcBorders>
              <w:top w:val="nil"/>
              <w:left w:val="outset" w:color="auto" w:sz="6" w:space="0"/>
              <w:bottom w:val="outset" w:color="auto" w:sz="6" w:space="0"/>
              <w:right w:val="outset" w:color="auto" w:sz="6" w:space="0"/>
            </w:tcBorders>
          </w:tcPr>
          <w:p w14:paraId="56B07D21">
            <w:pPr>
              <w:spacing w:after="160" w:line="259" w:lineRule="auto"/>
              <w:jc w:val="both"/>
              <w:rPr>
                <w:rFonts w:hint="default"/>
                <w:lang w:val="pt-BR"/>
              </w:rPr>
            </w:pPr>
            <w:r>
              <w:t>Não se aplica a municípios. Esse indicador se refere à situação nos estados da federação</w:t>
            </w:r>
            <w:r>
              <w:rPr>
                <w:rFonts w:hint="default"/>
                <w:lang w:val="pt-BR"/>
              </w:rPr>
              <w:t>.</w:t>
            </w:r>
          </w:p>
        </w:tc>
      </w:tr>
    </w:tbl>
    <w:p w14:paraId="26433E31">
      <w:pPr>
        <w:rPr>
          <w:b/>
        </w:rPr>
      </w:pPr>
      <w:r>
        <w:rPr>
          <w:b/>
        </w:rPr>
        <w:t xml:space="preserve"> </w:t>
      </w: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14"/>
        <w:gridCol w:w="6518"/>
        <w:gridCol w:w="89"/>
      </w:tblGrid>
      <w:tr w14:paraId="25F9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07C83226">
            <w:pPr>
              <w:jc w:val="center"/>
              <w:rPr>
                <w:rFonts w:hint="default"/>
                <w:b/>
                <w:bCs/>
                <w:vertAlign w:val="baseline"/>
                <w:lang w:val="pt-BR"/>
              </w:rPr>
            </w:pPr>
            <w:r>
              <w:rPr>
                <w:rFonts w:hint="default"/>
                <w:b/>
                <w:bCs/>
                <w:vertAlign w:val="baseline"/>
                <w:lang w:val="pt-BR"/>
              </w:rPr>
              <w:t>Ficha metodológica para o indicador 18B - base PNE</w:t>
            </w:r>
          </w:p>
        </w:tc>
      </w:tr>
      <w:tr w14:paraId="060E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2DFCC229">
            <w:pPr>
              <w:spacing w:after="160" w:line="259" w:lineRule="auto"/>
              <w:rPr>
                <w:b/>
              </w:rPr>
            </w:pP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5CDAA7FF">
            <w:pPr>
              <w:spacing w:after="160" w:line="259" w:lineRule="auto"/>
              <w:rPr>
                <w:b/>
              </w:rPr>
            </w:pPr>
            <w:r>
              <w:rPr>
                <w:b/>
              </w:rPr>
              <w:t>Texto da meta</w:t>
            </w:r>
          </w:p>
        </w:tc>
      </w:tr>
      <w:tr w14:paraId="2531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1F011BCE">
            <w:pPr>
              <w:spacing w:after="160" w:line="259" w:lineRule="auto"/>
            </w:pPr>
            <w:r>
              <w:t>18</w:t>
            </w:r>
          </w:p>
          <w:p w14:paraId="46D8F0A4">
            <w:pPr>
              <w:spacing w:after="160" w:line="259" w:lineRule="auto"/>
            </w:pPr>
          </w:p>
        </w:tc>
        <w:tc>
          <w:tcPr>
            <w:tcW w:w="6532" w:type="dxa"/>
            <w:gridSpan w:val="2"/>
            <w:tcBorders>
              <w:top w:val="nil"/>
              <w:left w:val="outset" w:color="auto" w:sz="6" w:space="0"/>
              <w:bottom w:val="outset" w:color="auto" w:sz="6" w:space="0"/>
              <w:right w:val="outset" w:color="auto" w:sz="6" w:space="0"/>
            </w:tcBorders>
          </w:tcPr>
          <w:p w14:paraId="2C8C0381">
            <w:pPr>
              <w:spacing w:after="160" w:line="259" w:lineRule="auto"/>
              <w:jc w:val="both"/>
              <w:rPr>
                <w:i/>
              </w:rPr>
            </w:pPr>
            <w:r>
              <w:rPr>
                <w:bCs/>
              </w:rPr>
              <w:t>Assegurar, a atualização e implantação do plano de carreira para os profissionais da Educação Básica pública do município e tomar como referência o Piso Salarial Nacional Profissional, definido em lei federal, nos termos do inciso VIII do art. 206 Constituição Federal.</w:t>
            </w:r>
          </w:p>
        </w:tc>
      </w:tr>
      <w:tr w14:paraId="477C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8" w:type="dxa"/>
            <w:gridSpan w:val="2"/>
            <w:tcBorders>
              <w:top w:val="outset" w:color="auto" w:sz="6" w:space="0"/>
              <w:left w:val="outset" w:color="auto" w:sz="6" w:space="0"/>
              <w:bottom w:val="outset" w:color="auto" w:sz="6" w:space="0"/>
              <w:right w:val="outset" w:color="auto" w:sz="6" w:space="0"/>
            </w:tcBorders>
          </w:tcPr>
          <w:p w14:paraId="31699EDF">
            <w:pPr>
              <w:spacing w:after="160" w:line="259" w:lineRule="auto"/>
              <w:rPr>
                <w:rFonts w:hint="default"/>
                <w:lang w:val="pt-BR"/>
              </w:rPr>
            </w:pPr>
            <w:r>
              <w:t xml:space="preserve">Indicador </w:t>
            </w:r>
            <w:r>
              <w:rPr>
                <w:rFonts w:hint="default"/>
                <w:lang w:val="pt-BR"/>
              </w:rPr>
              <w:t>18B Nacional</w:t>
            </w:r>
          </w:p>
        </w:tc>
        <w:tc>
          <w:tcPr>
            <w:tcW w:w="6518" w:type="dxa"/>
            <w:tcBorders>
              <w:top w:val="outset" w:color="auto" w:sz="6" w:space="0"/>
              <w:left w:val="outset" w:color="auto" w:sz="6" w:space="0"/>
              <w:bottom w:val="outset" w:color="auto" w:sz="6" w:space="0"/>
              <w:right w:val="outset" w:color="auto" w:sz="6" w:space="0"/>
            </w:tcBorders>
          </w:tcPr>
          <w:p w14:paraId="2A6B6002">
            <w:pPr>
              <w:spacing w:after="160" w:line="259" w:lineRule="auto"/>
              <w:rPr>
                <w:rFonts w:hint="default"/>
                <w:lang w:val="pt-BR"/>
              </w:rPr>
            </w:pPr>
            <w:r>
              <w:t>Percentual de unidades federativas que preveem o limite máximo de 2/3 da carga horária para atividades de interação com os educando</w:t>
            </w:r>
            <w:r>
              <w:rPr>
                <w:rFonts w:hint="default"/>
                <w:lang w:val="pt-BR"/>
              </w:rPr>
              <w:t>.</w:t>
            </w:r>
          </w:p>
        </w:tc>
      </w:tr>
      <w:tr w14:paraId="7236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8" w:type="dxa"/>
            <w:gridSpan w:val="2"/>
            <w:tcBorders>
              <w:top w:val="outset" w:color="auto" w:sz="6" w:space="0"/>
              <w:left w:val="outset" w:color="auto" w:sz="6" w:space="0"/>
              <w:bottom w:val="outset" w:color="auto" w:sz="6" w:space="0"/>
              <w:right w:val="outset" w:color="auto" w:sz="6" w:space="0"/>
            </w:tcBorders>
          </w:tcPr>
          <w:p w14:paraId="1CC8E615">
            <w:pPr>
              <w:spacing w:after="160" w:line="259" w:lineRule="auto"/>
              <w:rPr>
                <w:rFonts w:hint="default"/>
                <w:lang w:val="pt-BR"/>
              </w:rPr>
            </w:pPr>
            <w:r>
              <w:rPr>
                <w:rFonts w:hint="default"/>
                <w:lang w:val="pt-BR"/>
              </w:rPr>
              <w:t>Indicador 18B Proposto</w:t>
            </w:r>
          </w:p>
        </w:tc>
        <w:tc>
          <w:tcPr>
            <w:tcW w:w="6518" w:type="dxa"/>
            <w:tcBorders>
              <w:top w:val="outset" w:color="auto" w:sz="6" w:space="0"/>
              <w:left w:val="outset" w:color="auto" w:sz="6" w:space="0"/>
              <w:bottom w:val="outset" w:color="auto" w:sz="6" w:space="0"/>
              <w:right w:val="outset" w:color="auto" w:sz="6" w:space="0"/>
            </w:tcBorders>
          </w:tcPr>
          <w:p w14:paraId="6288D9FD">
            <w:pPr>
              <w:spacing w:after="160" w:line="259" w:lineRule="auto"/>
              <w:rPr>
                <w:rFonts w:hint="default"/>
                <w:lang w:val="pt-BR"/>
              </w:rPr>
            </w:pPr>
            <w:r>
              <w:rPr>
                <w:rFonts w:hint="default"/>
                <w:lang w:val="pt-BR"/>
              </w:rPr>
              <w:t>Nenhum</w:t>
            </w:r>
          </w:p>
        </w:tc>
      </w:tr>
      <w:tr w14:paraId="6665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8" w:type="dxa"/>
            <w:gridSpan w:val="2"/>
            <w:tcBorders>
              <w:top w:val="nil"/>
              <w:left w:val="outset" w:color="auto" w:sz="6" w:space="0"/>
              <w:bottom w:val="outset" w:color="auto" w:sz="6" w:space="0"/>
              <w:right w:val="outset" w:color="auto" w:sz="6" w:space="0"/>
            </w:tcBorders>
          </w:tcPr>
          <w:p w14:paraId="28F24738">
            <w:pPr>
              <w:spacing w:after="160" w:line="259" w:lineRule="auto"/>
            </w:pPr>
            <w:r>
              <w:t>Fórmula de cálculo</w:t>
            </w:r>
          </w:p>
        </w:tc>
        <w:tc>
          <w:tcPr>
            <w:tcW w:w="6518" w:type="dxa"/>
            <w:tcBorders>
              <w:top w:val="nil"/>
              <w:left w:val="outset" w:color="auto" w:sz="6" w:space="0"/>
              <w:bottom w:val="outset" w:color="auto" w:sz="6" w:space="0"/>
              <w:right w:val="outset" w:color="auto" w:sz="6" w:space="0"/>
            </w:tcBorders>
          </w:tcPr>
          <w:p w14:paraId="05CDAD3E">
            <w:pPr>
              <w:spacing w:after="160" w:line="259" w:lineRule="auto"/>
              <w:jc w:val="both"/>
              <w:rPr>
                <w:rFonts w:hint="default"/>
                <w:lang w:val="pt-BR"/>
              </w:rPr>
            </w:pPr>
            <w:r>
              <w:t>Unidades federativas que preveem o limite máximo de 2/3 da carga horária para atividades de interação com os educandos / Total de unidades federativas) x 100</w:t>
            </w:r>
            <w:r>
              <w:rPr>
                <w:rFonts w:hint="default"/>
                <w:lang w:val="pt-BR"/>
              </w:rPr>
              <w:t>.</w:t>
            </w:r>
          </w:p>
        </w:tc>
      </w:tr>
      <w:tr w14:paraId="2135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8" w:type="dxa"/>
            <w:gridSpan w:val="2"/>
            <w:tcBorders>
              <w:top w:val="nil"/>
              <w:left w:val="outset" w:color="auto" w:sz="6" w:space="0"/>
              <w:bottom w:val="outset" w:color="auto" w:sz="6" w:space="0"/>
              <w:right w:val="outset" w:color="auto" w:sz="6" w:space="0"/>
            </w:tcBorders>
          </w:tcPr>
          <w:p w14:paraId="14555AC2">
            <w:pPr>
              <w:spacing w:after="160" w:line="259" w:lineRule="auto"/>
            </w:pPr>
            <w:r>
              <w:t>Comentário</w:t>
            </w:r>
          </w:p>
        </w:tc>
        <w:tc>
          <w:tcPr>
            <w:tcW w:w="6518" w:type="dxa"/>
            <w:tcBorders>
              <w:top w:val="nil"/>
              <w:left w:val="outset" w:color="auto" w:sz="6" w:space="0"/>
              <w:bottom w:val="outset" w:color="auto" w:sz="6" w:space="0"/>
              <w:right w:val="outset" w:color="auto" w:sz="6" w:space="0"/>
            </w:tcBorders>
          </w:tcPr>
          <w:p w14:paraId="00C11192">
            <w:pPr>
              <w:spacing w:after="160" w:line="259" w:lineRule="auto"/>
              <w:jc w:val="both"/>
              <w:rPr>
                <w:rFonts w:hint="default"/>
                <w:lang w:val="pt-BR"/>
              </w:rPr>
            </w:pPr>
            <w:r>
              <w:t>Não se aplica a municípios. Esse indicador se refere à situação nos estados da federação</w:t>
            </w:r>
            <w:r>
              <w:rPr>
                <w:rFonts w:hint="default"/>
                <w:lang w:val="pt-BR"/>
              </w:rPr>
              <w:t>.</w:t>
            </w:r>
          </w:p>
        </w:tc>
      </w:tr>
    </w:tbl>
    <w:p w14:paraId="53F84D76">
      <w:pPr>
        <w:rPr>
          <w:b/>
        </w:rPr>
      </w:pPr>
      <w:r>
        <w:rPr>
          <w:b/>
        </w:rPr>
        <w:t xml:space="preserve"> </w:t>
      </w:r>
    </w:p>
    <w:p w14:paraId="19065258">
      <w:pPr>
        <w:rPr>
          <w:b/>
        </w:rPr>
      </w:pP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6532"/>
        <w:gridCol w:w="89"/>
      </w:tblGrid>
      <w:tr w14:paraId="7D14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3"/>
          </w:tcPr>
          <w:p w14:paraId="3EFC944C">
            <w:pPr>
              <w:jc w:val="center"/>
              <w:rPr>
                <w:rFonts w:hint="default"/>
                <w:b/>
                <w:bCs/>
                <w:vertAlign w:val="baseline"/>
                <w:lang w:val="pt-BR"/>
              </w:rPr>
            </w:pPr>
            <w:r>
              <w:rPr>
                <w:rFonts w:hint="default"/>
                <w:b/>
                <w:bCs/>
                <w:vertAlign w:val="baseline"/>
                <w:lang w:val="pt-BR"/>
              </w:rPr>
              <w:t>Ficha metodológica para o indicador 18C - base PNE</w:t>
            </w:r>
          </w:p>
        </w:tc>
      </w:tr>
      <w:tr w14:paraId="466A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0A8295D6">
            <w:pPr>
              <w:spacing w:after="160" w:line="259" w:lineRule="auto"/>
              <w:rPr>
                <w:b/>
              </w:rPr>
            </w:pPr>
            <w:r>
              <w:rPr>
                <w:b/>
              </w:rPr>
              <w:t>Meta</w:t>
            </w:r>
          </w:p>
        </w:tc>
        <w:tc>
          <w:tcPr>
            <w:tcW w:w="6532" w:type="dxa"/>
            <w:tcBorders>
              <w:top w:val="outset" w:color="auto" w:sz="6" w:space="0"/>
              <w:left w:val="outset" w:color="auto" w:sz="6" w:space="0"/>
              <w:bottom w:val="outset" w:color="auto" w:sz="6" w:space="0"/>
              <w:right w:val="outset" w:color="auto" w:sz="6" w:space="0"/>
            </w:tcBorders>
          </w:tcPr>
          <w:p w14:paraId="112A82C9">
            <w:pPr>
              <w:spacing w:after="160" w:line="259" w:lineRule="auto"/>
              <w:rPr>
                <w:b/>
              </w:rPr>
            </w:pPr>
            <w:r>
              <w:rPr>
                <w:b/>
              </w:rPr>
              <w:t>Texto da meta</w:t>
            </w:r>
          </w:p>
        </w:tc>
      </w:tr>
      <w:tr w14:paraId="0E47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39C47B58">
            <w:pPr>
              <w:spacing w:after="160" w:line="259" w:lineRule="auto"/>
            </w:pPr>
            <w:r>
              <w:t>18</w:t>
            </w:r>
          </w:p>
          <w:p w14:paraId="1DF94BE6">
            <w:pPr>
              <w:spacing w:after="160" w:line="259" w:lineRule="auto"/>
            </w:pPr>
          </w:p>
          <w:p w14:paraId="4F17F63E">
            <w:pPr>
              <w:spacing w:after="160" w:line="259" w:lineRule="auto"/>
            </w:pPr>
          </w:p>
        </w:tc>
        <w:tc>
          <w:tcPr>
            <w:tcW w:w="6532" w:type="dxa"/>
            <w:tcBorders>
              <w:top w:val="nil"/>
              <w:left w:val="outset" w:color="auto" w:sz="6" w:space="0"/>
              <w:bottom w:val="outset" w:color="auto" w:sz="6" w:space="0"/>
              <w:right w:val="outset" w:color="auto" w:sz="6" w:space="0"/>
            </w:tcBorders>
          </w:tcPr>
          <w:p w14:paraId="3CF8ACC3">
            <w:pPr>
              <w:spacing w:after="160" w:line="259" w:lineRule="auto"/>
              <w:jc w:val="both"/>
              <w:rPr>
                <w:i/>
              </w:rPr>
            </w:pPr>
            <w:r>
              <w:rPr>
                <w:bCs/>
              </w:rPr>
              <w:t>Assegurar, a atualização e implantação do plano de carreira para os profissionais da Educação Básica pública do município e tomar como referência o Piso Salarial Nacional Profissional, definido em lei federal, nos termos do inciso VIII do art. 206 Constituição Federal.</w:t>
            </w:r>
          </w:p>
        </w:tc>
      </w:tr>
    </w:tbl>
    <w:p w14:paraId="34BFD692">
      <w:pPr>
        <w:rPr>
          <w:b/>
        </w:rPr>
      </w:pPr>
      <w:r>
        <w:rPr>
          <w:b/>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780"/>
        <w:gridCol w:w="6780"/>
      </w:tblGrid>
      <w:tr w14:paraId="2DDB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780" w:type="dxa"/>
            <w:tcBorders>
              <w:top w:val="outset" w:color="auto" w:sz="6" w:space="0"/>
              <w:left w:val="outset" w:color="auto" w:sz="6" w:space="0"/>
              <w:bottom w:val="outset" w:color="auto" w:sz="6" w:space="0"/>
              <w:right w:val="outset" w:color="auto" w:sz="6" w:space="0"/>
            </w:tcBorders>
          </w:tcPr>
          <w:p w14:paraId="15592C79">
            <w:pPr>
              <w:spacing w:after="160" w:line="259" w:lineRule="auto"/>
              <w:rPr>
                <w:rFonts w:hint="default"/>
                <w:lang w:val="pt-BR"/>
              </w:rPr>
            </w:pPr>
            <w:r>
              <w:t xml:space="preserve">Indicador </w:t>
            </w:r>
            <w:r>
              <w:rPr>
                <w:rFonts w:hint="default"/>
                <w:lang w:val="pt-BR"/>
              </w:rPr>
              <w:t>18C</w:t>
            </w:r>
          </w:p>
        </w:tc>
        <w:tc>
          <w:tcPr>
            <w:tcW w:w="6780" w:type="dxa"/>
            <w:tcBorders>
              <w:top w:val="outset" w:color="auto" w:sz="6" w:space="0"/>
              <w:left w:val="outset" w:color="auto" w:sz="6" w:space="0"/>
              <w:bottom w:val="outset" w:color="auto" w:sz="6" w:space="0"/>
              <w:right w:val="outset" w:color="auto" w:sz="6" w:space="0"/>
            </w:tcBorders>
          </w:tcPr>
          <w:p w14:paraId="000928C2">
            <w:pPr>
              <w:spacing w:after="160" w:line="259" w:lineRule="auto"/>
              <w:rPr>
                <w:rFonts w:hint="default"/>
                <w:lang w:val="pt-BR"/>
              </w:rPr>
            </w:pPr>
            <w:r>
              <w:t>Percentual de unidades federativas que atendem ao PSNP</w:t>
            </w:r>
            <w:r>
              <w:rPr>
                <w:rFonts w:hint="default"/>
                <w:lang w:val="pt-BR"/>
              </w:rPr>
              <w:t>.</w:t>
            </w:r>
          </w:p>
        </w:tc>
      </w:tr>
      <w:tr w14:paraId="2A91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780" w:type="dxa"/>
            <w:tcBorders>
              <w:top w:val="outset" w:color="auto" w:sz="6" w:space="0"/>
              <w:left w:val="outset" w:color="auto" w:sz="6" w:space="0"/>
              <w:bottom w:val="outset" w:color="auto" w:sz="6" w:space="0"/>
              <w:right w:val="outset" w:color="auto" w:sz="6" w:space="0"/>
            </w:tcBorders>
          </w:tcPr>
          <w:p w14:paraId="1ED7B15D">
            <w:pPr>
              <w:spacing w:after="160" w:line="259" w:lineRule="auto"/>
              <w:rPr>
                <w:rFonts w:hint="default"/>
                <w:lang w:val="pt-BR"/>
              </w:rPr>
            </w:pPr>
            <w:r>
              <w:rPr>
                <w:rFonts w:hint="default"/>
                <w:lang w:val="pt-BR"/>
              </w:rPr>
              <w:t>Indicador 18C</w:t>
            </w:r>
          </w:p>
        </w:tc>
        <w:tc>
          <w:tcPr>
            <w:tcW w:w="6780" w:type="dxa"/>
            <w:tcBorders>
              <w:top w:val="outset" w:color="auto" w:sz="6" w:space="0"/>
              <w:left w:val="outset" w:color="auto" w:sz="6" w:space="0"/>
              <w:bottom w:val="outset" w:color="auto" w:sz="6" w:space="0"/>
              <w:right w:val="outset" w:color="auto" w:sz="6" w:space="0"/>
            </w:tcBorders>
          </w:tcPr>
          <w:p w14:paraId="35883B16">
            <w:pPr>
              <w:spacing w:after="160" w:line="259" w:lineRule="auto"/>
              <w:rPr>
                <w:rFonts w:hint="default"/>
                <w:lang w:val="pt-BR"/>
              </w:rPr>
            </w:pPr>
            <w:r>
              <w:rPr>
                <w:rFonts w:hint="default"/>
                <w:lang w:val="pt-BR"/>
              </w:rPr>
              <w:t>Nenhum</w:t>
            </w:r>
          </w:p>
        </w:tc>
      </w:tr>
      <w:tr w14:paraId="5DA7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780" w:type="dxa"/>
            <w:tcBorders>
              <w:top w:val="nil"/>
              <w:left w:val="outset" w:color="auto" w:sz="6" w:space="0"/>
              <w:bottom w:val="outset" w:color="auto" w:sz="6" w:space="0"/>
              <w:right w:val="outset" w:color="auto" w:sz="6" w:space="0"/>
            </w:tcBorders>
          </w:tcPr>
          <w:p w14:paraId="33962D29">
            <w:pPr>
              <w:spacing w:after="160" w:line="259" w:lineRule="auto"/>
            </w:pPr>
            <w:r>
              <w:t>Fórmula de cálculo</w:t>
            </w:r>
          </w:p>
        </w:tc>
        <w:tc>
          <w:tcPr>
            <w:tcW w:w="6780" w:type="dxa"/>
            <w:tcBorders>
              <w:top w:val="nil"/>
              <w:left w:val="outset" w:color="auto" w:sz="6" w:space="0"/>
              <w:bottom w:val="outset" w:color="auto" w:sz="6" w:space="0"/>
              <w:right w:val="outset" w:color="auto" w:sz="6" w:space="0"/>
            </w:tcBorders>
          </w:tcPr>
          <w:p w14:paraId="55746813">
            <w:pPr>
              <w:spacing w:after="160" w:line="259" w:lineRule="auto"/>
              <w:jc w:val="both"/>
              <w:rPr>
                <w:rFonts w:hint="default"/>
                <w:lang w:val="pt-BR"/>
              </w:rPr>
            </w:pPr>
            <w:r>
              <w:t>(Unidades federativas que atendem ao PSNP / Total de unidades federativas) x 100</w:t>
            </w:r>
            <w:r>
              <w:rPr>
                <w:rFonts w:hint="default"/>
                <w:lang w:val="pt-BR"/>
              </w:rPr>
              <w:t>.</w:t>
            </w:r>
          </w:p>
        </w:tc>
      </w:tr>
      <w:tr w14:paraId="6505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780" w:type="dxa"/>
            <w:tcBorders>
              <w:top w:val="nil"/>
              <w:left w:val="outset" w:color="auto" w:sz="6" w:space="0"/>
              <w:bottom w:val="outset" w:color="auto" w:sz="6" w:space="0"/>
              <w:right w:val="outset" w:color="auto" w:sz="6" w:space="0"/>
            </w:tcBorders>
          </w:tcPr>
          <w:p w14:paraId="22D16663">
            <w:pPr>
              <w:spacing w:after="160" w:line="259" w:lineRule="auto"/>
            </w:pPr>
            <w:r>
              <w:t>Comentário</w:t>
            </w:r>
          </w:p>
        </w:tc>
        <w:tc>
          <w:tcPr>
            <w:tcW w:w="6780" w:type="dxa"/>
            <w:tcBorders>
              <w:top w:val="nil"/>
              <w:left w:val="outset" w:color="auto" w:sz="6" w:space="0"/>
              <w:bottom w:val="outset" w:color="auto" w:sz="6" w:space="0"/>
              <w:right w:val="outset" w:color="auto" w:sz="6" w:space="0"/>
            </w:tcBorders>
          </w:tcPr>
          <w:p w14:paraId="3C99A948">
            <w:pPr>
              <w:spacing w:after="160" w:line="259" w:lineRule="auto"/>
              <w:jc w:val="both"/>
              <w:rPr>
                <w:rFonts w:hint="default"/>
                <w:lang w:val="pt-BR"/>
              </w:rPr>
            </w:pPr>
            <w:r>
              <w:t>Não se aplica a municípios. Esse indicador se refere à situação nos estados da federação</w:t>
            </w:r>
            <w:r>
              <w:rPr>
                <w:rFonts w:hint="default"/>
                <w:lang w:val="pt-BR"/>
              </w:rPr>
              <w:t>.</w:t>
            </w:r>
          </w:p>
        </w:tc>
      </w:tr>
    </w:tbl>
    <w:p w14:paraId="14C78A6B">
      <w:pPr>
        <w:rPr>
          <w:b/>
        </w:rPr>
      </w:pPr>
      <w:r>
        <w:rPr>
          <w:b/>
        </w:rPr>
        <w:t xml:space="preserve"> </w:t>
      </w: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12"/>
        <w:gridCol w:w="6520"/>
        <w:gridCol w:w="89"/>
      </w:tblGrid>
      <w:tr w14:paraId="6648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61D3A065">
            <w:pPr>
              <w:jc w:val="center"/>
              <w:rPr>
                <w:rFonts w:hint="default"/>
                <w:b/>
                <w:bCs/>
                <w:vertAlign w:val="baseline"/>
                <w:lang w:val="pt-BR"/>
              </w:rPr>
            </w:pPr>
            <w:r>
              <w:rPr>
                <w:rFonts w:hint="default"/>
                <w:b/>
                <w:bCs/>
                <w:vertAlign w:val="baseline"/>
                <w:lang w:val="pt-BR"/>
              </w:rPr>
              <w:t>Ficha metodológica para o indicador 18D - base PNE</w:t>
            </w:r>
          </w:p>
        </w:tc>
      </w:tr>
      <w:tr w14:paraId="01EB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4FC2C213">
            <w:pPr>
              <w:spacing w:after="160" w:line="259" w:lineRule="auto"/>
              <w:rPr>
                <w:b/>
              </w:rPr>
            </w:pP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49BD8EDE">
            <w:pPr>
              <w:spacing w:after="160" w:line="259" w:lineRule="auto"/>
              <w:rPr>
                <w:b/>
              </w:rPr>
            </w:pPr>
            <w:r>
              <w:rPr>
                <w:b/>
              </w:rPr>
              <w:t>Texto da meta</w:t>
            </w:r>
          </w:p>
        </w:tc>
      </w:tr>
      <w:tr w14:paraId="21FD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3AB9C9F4">
            <w:pPr>
              <w:spacing w:after="160" w:line="259" w:lineRule="auto"/>
            </w:pPr>
            <w:r>
              <w:t>18</w:t>
            </w:r>
          </w:p>
          <w:p w14:paraId="1E59CA5A">
            <w:pPr>
              <w:spacing w:after="160" w:line="259" w:lineRule="auto"/>
            </w:pPr>
          </w:p>
          <w:p w14:paraId="7476839A">
            <w:pPr>
              <w:spacing w:after="160" w:line="259" w:lineRule="auto"/>
            </w:pPr>
          </w:p>
        </w:tc>
        <w:tc>
          <w:tcPr>
            <w:tcW w:w="6532" w:type="dxa"/>
            <w:gridSpan w:val="2"/>
            <w:tcBorders>
              <w:top w:val="nil"/>
              <w:left w:val="outset" w:color="auto" w:sz="6" w:space="0"/>
              <w:bottom w:val="outset" w:color="auto" w:sz="6" w:space="0"/>
              <w:right w:val="outset" w:color="auto" w:sz="6" w:space="0"/>
            </w:tcBorders>
          </w:tcPr>
          <w:p w14:paraId="60B33F8E">
            <w:pPr>
              <w:spacing w:after="160" w:line="259" w:lineRule="auto"/>
              <w:jc w:val="both"/>
              <w:rPr>
                <w:i/>
              </w:rPr>
            </w:pPr>
            <w:r>
              <w:rPr>
                <w:bCs/>
              </w:rPr>
              <w:t>Assegurar, a atualização e implantação do plano de carreira para os profissionais da Educação Básica pública do município e tomar como referência o Piso Salarial Nacional Profissional, definido em lei federal, nos termos do inciso VIII do art. 206 Constituição Federal.</w:t>
            </w:r>
          </w:p>
        </w:tc>
      </w:tr>
      <w:tr w14:paraId="0DF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6" w:type="dxa"/>
            <w:gridSpan w:val="2"/>
            <w:tcBorders>
              <w:top w:val="outset" w:color="auto" w:sz="6" w:space="0"/>
              <w:left w:val="outset" w:color="auto" w:sz="6" w:space="0"/>
              <w:bottom w:val="outset" w:color="auto" w:sz="6" w:space="0"/>
              <w:right w:val="outset" w:color="auto" w:sz="6" w:space="0"/>
            </w:tcBorders>
          </w:tcPr>
          <w:p w14:paraId="149A2747">
            <w:pPr>
              <w:rPr>
                <w:rFonts w:hint="default"/>
                <w:lang w:val="pt-BR"/>
              </w:rPr>
            </w:pPr>
            <w:r>
              <w:rPr>
                <w:b/>
              </w:rPr>
              <w:t xml:space="preserve"> </w:t>
            </w:r>
            <w:r>
              <w:t xml:space="preserve">Indicador </w:t>
            </w:r>
            <w:r>
              <w:rPr>
                <w:rFonts w:hint="default"/>
                <w:lang w:val="pt-BR"/>
              </w:rPr>
              <w:t>18D Nacional</w:t>
            </w:r>
          </w:p>
        </w:tc>
        <w:tc>
          <w:tcPr>
            <w:tcW w:w="6520" w:type="dxa"/>
            <w:tcBorders>
              <w:top w:val="outset" w:color="auto" w:sz="6" w:space="0"/>
              <w:left w:val="outset" w:color="auto" w:sz="6" w:space="0"/>
              <w:bottom w:val="outset" w:color="auto" w:sz="6" w:space="0"/>
              <w:right w:val="outset" w:color="auto" w:sz="6" w:space="0"/>
            </w:tcBorders>
          </w:tcPr>
          <w:p w14:paraId="0E9FE771">
            <w:pPr>
              <w:spacing w:after="160" w:line="259" w:lineRule="auto"/>
              <w:rPr>
                <w:rFonts w:hint="default"/>
                <w:lang w:val="pt-BR"/>
              </w:rPr>
            </w:pPr>
            <w:r>
              <w:t>Percentual de municípios que possuem PCR dos profissionais do magistério</w:t>
            </w:r>
            <w:r>
              <w:rPr>
                <w:rFonts w:hint="default"/>
                <w:lang w:val="pt-BR"/>
              </w:rPr>
              <w:t>.</w:t>
            </w:r>
          </w:p>
        </w:tc>
      </w:tr>
      <w:tr w14:paraId="0A9E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6" w:type="dxa"/>
            <w:gridSpan w:val="2"/>
            <w:tcBorders>
              <w:top w:val="outset" w:color="auto" w:sz="6" w:space="0"/>
              <w:left w:val="outset" w:color="auto" w:sz="6" w:space="0"/>
              <w:bottom w:val="outset" w:color="auto" w:sz="6" w:space="0"/>
              <w:right w:val="outset" w:color="auto" w:sz="6" w:space="0"/>
            </w:tcBorders>
          </w:tcPr>
          <w:p w14:paraId="07980C16">
            <w:pPr>
              <w:rPr>
                <w:rFonts w:hint="default"/>
                <w:b w:val="0"/>
                <w:bCs/>
                <w:lang w:val="pt-BR"/>
              </w:rPr>
            </w:pPr>
            <w:r>
              <w:rPr>
                <w:rFonts w:hint="default"/>
                <w:b w:val="0"/>
                <w:bCs/>
                <w:lang w:val="pt-BR"/>
              </w:rPr>
              <w:t>Indicador 18D Proposto</w:t>
            </w:r>
          </w:p>
        </w:tc>
        <w:tc>
          <w:tcPr>
            <w:tcW w:w="6520" w:type="dxa"/>
            <w:tcBorders>
              <w:top w:val="outset" w:color="auto" w:sz="6" w:space="0"/>
              <w:left w:val="outset" w:color="auto" w:sz="6" w:space="0"/>
              <w:bottom w:val="outset" w:color="auto" w:sz="6" w:space="0"/>
              <w:right w:val="outset" w:color="auto" w:sz="6" w:space="0"/>
            </w:tcBorders>
          </w:tcPr>
          <w:p w14:paraId="56710112">
            <w:pPr>
              <w:spacing w:after="160" w:line="259" w:lineRule="auto"/>
              <w:rPr>
                <w:rFonts w:hint="default"/>
                <w:b w:val="0"/>
                <w:bCs/>
                <w:lang w:val="pt-BR"/>
              </w:rPr>
            </w:pPr>
            <w:r>
              <w:rPr>
                <w:rFonts w:hint="default"/>
                <w:b w:val="0"/>
                <w:bCs/>
                <w:lang w:val="pt-BR"/>
              </w:rPr>
              <w:t>Nenhum</w:t>
            </w:r>
          </w:p>
        </w:tc>
      </w:tr>
      <w:tr w14:paraId="4E57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6" w:type="dxa"/>
            <w:gridSpan w:val="2"/>
            <w:tcBorders>
              <w:top w:val="nil"/>
              <w:left w:val="outset" w:color="auto" w:sz="6" w:space="0"/>
              <w:bottom w:val="outset" w:color="auto" w:sz="6" w:space="0"/>
              <w:right w:val="outset" w:color="auto" w:sz="6" w:space="0"/>
            </w:tcBorders>
          </w:tcPr>
          <w:p w14:paraId="699F10CF">
            <w:pPr>
              <w:spacing w:after="160" w:line="259" w:lineRule="auto"/>
            </w:pPr>
            <w:r>
              <w:t>Fórmula de cálculo</w:t>
            </w:r>
          </w:p>
        </w:tc>
        <w:tc>
          <w:tcPr>
            <w:tcW w:w="6520" w:type="dxa"/>
            <w:tcBorders>
              <w:top w:val="nil"/>
              <w:left w:val="outset" w:color="auto" w:sz="6" w:space="0"/>
              <w:bottom w:val="outset" w:color="auto" w:sz="6" w:space="0"/>
              <w:right w:val="outset" w:color="auto" w:sz="6" w:space="0"/>
            </w:tcBorders>
          </w:tcPr>
          <w:p w14:paraId="61D88FD2">
            <w:pPr>
              <w:spacing w:after="160" w:line="259" w:lineRule="auto"/>
              <w:jc w:val="both"/>
            </w:pPr>
            <w:r>
              <w:t>(unidades federativas com PCR vigentes para profissionais da educação que não integram o magistério / total de unidades federativas) x 100</w:t>
            </w:r>
          </w:p>
        </w:tc>
      </w:tr>
      <w:tr w14:paraId="46C4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6" w:type="dxa"/>
            <w:gridSpan w:val="2"/>
            <w:tcBorders>
              <w:top w:val="nil"/>
              <w:left w:val="outset" w:color="auto" w:sz="6" w:space="0"/>
              <w:bottom w:val="outset" w:color="auto" w:sz="6" w:space="0"/>
              <w:right w:val="outset" w:color="auto" w:sz="6" w:space="0"/>
            </w:tcBorders>
          </w:tcPr>
          <w:p w14:paraId="11E4067F">
            <w:pPr>
              <w:spacing w:after="160" w:line="259" w:lineRule="auto"/>
            </w:pPr>
            <w:r>
              <w:t>Comentário</w:t>
            </w:r>
          </w:p>
        </w:tc>
        <w:tc>
          <w:tcPr>
            <w:tcW w:w="6520" w:type="dxa"/>
            <w:tcBorders>
              <w:top w:val="nil"/>
              <w:left w:val="outset" w:color="auto" w:sz="6" w:space="0"/>
              <w:bottom w:val="outset" w:color="auto" w:sz="6" w:space="0"/>
              <w:right w:val="outset" w:color="auto" w:sz="6" w:space="0"/>
            </w:tcBorders>
          </w:tcPr>
          <w:p w14:paraId="0E2AEE63">
            <w:pPr>
              <w:spacing w:after="160" w:line="259" w:lineRule="auto"/>
              <w:jc w:val="both"/>
            </w:pPr>
            <w:r>
              <w:t>Não se aplica a municípios. Esse indicador se refere à situação nos estados da federação</w:t>
            </w:r>
          </w:p>
        </w:tc>
      </w:tr>
    </w:tbl>
    <w:p w14:paraId="7BE3AF15">
      <w:pPr>
        <w:rPr>
          <w:b/>
        </w:rPr>
      </w:pPr>
      <w:r>
        <w:rPr>
          <w:b/>
        </w:rPr>
        <w:t xml:space="preserve"> </w:t>
      </w: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4"/>
        <w:gridCol w:w="6528"/>
        <w:gridCol w:w="89"/>
      </w:tblGrid>
      <w:tr w14:paraId="1FBE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7780997A">
            <w:pPr>
              <w:jc w:val="center"/>
              <w:rPr>
                <w:rFonts w:hint="default"/>
                <w:b/>
                <w:bCs/>
                <w:vertAlign w:val="baseline"/>
                <w:lang w:val="pt-BR"/>
              </w:rPr>
            </w:pPr>
            <w:r>
              <w:rPr>
                <w:rFonts w:hint="default"/>
                <w:b/>
                <w:bCs/>
                <w:vertAlign w:val="baseline"/>
                <w:lang w:val="pt-BR"/>
              </w:rPr>
              <w:t>Ficha metodológica para o indicador 18E - base PNE</w:t>
            </w:r>
          </w:p>
        </w:tc>
      </w:tr>
      <w:tr w14:paraId="6AAF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19D02FA4">
            <w:pPr>
              <w:spacing w:after="160" w:line="259" w:lineRule="auto"/>
              <w:rPr>
                <w:b/>
              </w:rPr>
            </w:pP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4D3E15FD">
            <w:pPr>
              <w:spacing w:after="160" w:line="259" w:lineRule="auto"/>
              <w:rPr>
                <w:b/>
              </w:rPr>
            </w:pPr>
            <w:r>
              <w:rPr>
                <w:b/>
              </w:rPr>
              <w:t>Texto da meta</w:t>
            </w:r>
          </w:p>
        </w:tc>
      </w:tr>
      <w:tr w14:paraId="1CF0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69B296FE">
            <w:pPr>
              <w:spacing w:after="160" w:line="259" w:lineRule="auto"/>
            </w:pPr>
            <w:r>
              <w:t>18</w:t>
            </w:r>
          </w:p>
          <w:p w14:paraId="4ADB7A3A">
            <w:pPr>
              <w:spacing w:after="160" w:line="259" w:lineRule="auto"/>
            </w:pPr>
          </w:p>
        </w:tc>
        <w:tc>
          <w:tcPr>
            <w:tcW w:w="6532" w:type="dxa"/>
            <w:gridSpan w:val="2"/>
            <w:tcBorders>
              <w:top w:val="nil"/>
              <w:left w:val="outset" w:color="auto" w:sz="6" w:space="0"/>
              <w:bottom w:val="outset" w:color="auto" w:sz="6" w:space="0"/>
              <w:right w:val="outset" w:color="auto" w:sz="6" w:space="0"/>
            </w:tcBorders>
          </w:tcPr>
          <w:p w14:paraId="1984B0E2">
            <w:pPr>
              <w:spacing w:after="160" w:line="259" w:lineRule="auto"/>
              <w:jc w:val="both"/>
              <w:rPr>
                <w:i/>
              </w:rPr>
            </w:pPr>
            <w:r>
              <w:rPr>
                <w:bCs/>
              </w:rPr>
              <w:t>Assegurar, a atualização e implantação do plano de carreira para os profissionais da Educação Básica pública do município e tomar como referência o Piso Salarial Nacional Profissional, definido em lei federal, nos termos do inciso VIII do art. 206 Constituição Federal.</w:t>
            </w:r>
          </w:p>
        </w:tc>
      </w:tr>
      <w:tr w14:paraId="6A69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8" w:type="dxa"/>
            <w:gridSpan w:val="2"/>
            <w:tcBorders>
              <w:top w:val="outset" w:color="auto" w:sz="6" w:space="0"/>
              <w:left w:val="outset" w:color="auto" w:sz="6" w:space="0"/>
              <w:bottom w:val="outset" w:color="auto" w:sz="6" w:space="0"/>
              <w:right w:val="outset" w:color="auto" w:sz="6" w:space="0"/>
            </w:tcBorders>
          </w:tcPr>
          <w:p w14:paraId="341D5CE4">
            <w:pPr>
              <w:rPr>
                <w:rFonts w:hint="default"/>
                <w:lang w:val="pt-BR"/>
              </w:rPr>
            </w:pPr>
            <w:r>
              <w:rPr>
                <w:b/>
              </w:rPr>
              <w:t xml:space="preserve"> </w:t>
            </w:r>
            <w:r>
              <w:t xml:space="preserve">Indicador </w:t>
            </w:r>
            <w:r>
              <w:rPr>
                <w:rFonts w:hint="default"/>
                <w:lang w:val="pt-BR"/>
              </w:rPr>
              <w:t>18E Nacional</w:t>
            </w:r>
          </w:p>
        </w:tc>
        <w:tc>
          <w:tcPr>
            <w:tcW w:w="6528" w:type="dxa"/>
            <w:tcBorders>
              <w:top w:val="outset" w:color="auto" w:sz="6" w:space="0"/>
              <w:left w:val="outset" w:color="auto" w:sz="6" w:space="0"/>
              <w:bottom w:val="outset" w:color="auto" w:sz="6" w:space="0"/>
              <w:right w:val="outset" w:color="auto" w:sz="6" w:space="0"/>
            </w:tcBorders>
          </w:tcPr>
          <w:p w14:paraId="41BB1458">
            <w:pPr>
              <w:spacing w:after="160" w:line="259" w:lineRule="auto"/>
              <w:jc w:val="both"/>
              <w:rPr>
                <w:rFonts w:hint="default"/>
                <w:lang w:val="pt-BR"/>
              </w:rPr>
            </w:pPr>
            <w:r>
              <w:t>Percentual de municípios que possuem PCR dos profissionais do magistério</w:t>
            </w:r>
          </w:p>
        </w:tc>
      </w:tr>
      <w:tr w14:paraId="4159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8" w:type="dxa"/>
            <w:gridSpan w:val="2"/>
            <w:tcBorders>
              <w:top w:val="outset" w:color="auto" w:sz="6" w:space="0"/>
              <w:left w:val="outset" w:color="auto" w:sz="6" w:space="0"/>
              <w:bottom w:val="outset" w:color="auto" w:sz="6" w:space="0"/>
              <w:right w:val="outset" w:color="auto" w:sz="6" w:space="0"/>
            </w:tcBorders>
          </w:tcPr>
          <w:p w14:paraId="5938590D">
            <w:pPr>
              <w:rPr>
                <w:rFonts w:hint="default"/>
                <w:b w:val="0"/>
                <w:bCs/>
                <w:lang w:val="pt-BR"/>
              </w:rPr>
            </w:pPr>
            <w:r>
              <w:rPr>
                <w:rFonts w:hint="default"/>
                <w:b w:val="0"/>
                <w:bCs/>
                <w:lang w:val="pt-BR"/>
              </w:rPr>
              <w:t>Indicador 18E Proposto</w:t>
            </w:r>
          </w:p>
        </w:tc>
        <w:tc>
          <w:tcPr>
            <w:tcW w:w="6528" w:type="dxa"/>
            <w:tcBorders>
              <w:top w:val="outset" w:color="auto" w:sz="6" w:space="0"/>
              <w:left w:val="outset" w:color="auto" w:sz="6" w:space="0"/>
              <w:bottom w:val="outset" w:color="auto" w:sz="6" w:space="0"/>
              <w:right w:val="outset" w:color="auto" w:sz="6" w:space="0"/>
            </w:tcBorders>
          </w:tcPr>
          <w:p w14:paraId="26CD25CD">
            <w:pPr>
              <w:spacing w:after="160" w:line="259" w:lineRule="auto"/>
              <w:rPr>
                <w:rFonts w:hint="default"/>
                <w:b w:val="0"/>
                <w:bCs/>
                <w:lang w:val="pt-BR"/>
              </w:rPr>
            </w:pPr>
            <w:r>
              <w:rPr>
                <w:rFonts w:hint="default"/>
                <w:b w:val="0"/>
                <w:bCs/>
                <w:lang w:val="pt-BR"/>
              </w:rPr>
              <w:t>Replicar o nacional</w:t>
            </w:r>
          </w:p>
        </w:tc>
      </w:tr>
      <w:tr w14:paraId="56B6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8" w:type="dxa"/>
            <w:gridSpan w:val="2"/>
            <w:tcBorders>
              <w:top w:val="nil"/>
              <w:left w:val="outset" w:color="auto" w:sz="6" w:space="0"/>
              <w:bottom w:val="outset" w:color="auto" w:sz="6" w:space="0"/>
              <w:right w:val="outset" w:color="auto" w:sz="6" w:space="0"/>
            </w:tcBorders>
          </w:tcPr>
          <w:p w14:paraId="6F4CB396">
            <w:pPr>
              <w:spacing w:after="160" w:line="259" w:lineRule="auto"/>
            </w:pPr>
            <w:r>
              <w:t>Fórmula de cálculo</w:t>
            </w:r>
          </w:p>
        </w:tc>
        <w:tc>
          <w:tcPr>
            <w:tcW w:w="6528" w:type="dxa"/>
            <w:tcBorders>
              <w:top w:val="nil"/>
              <w:left w:val="outset" w:color="auto" w:sz="6" w:space="0"/>
              <w:bottom w:val="outset" w:color="auto" w:sz="6" w:space="0"/>
              <w:right w:val="outset" w:color="auto" w:sz="6" w:space="0"/>
            </w:tcBorders>
          </w:tcPr>
          <w:p w14:paraId="7E3F170D">
            <w:pPr>
              <w:spacing w:after="160" w:line="259" w:lineRule="auto"/>
            </w:pPr>
            <w:r>
              <w:t>(Municípios com PCR vigentes / Total de municípios) x 100</w:t>
            </w:r>
          </w:p>
          <w:p w14:paraId="3B6AAD05">
            <w:pPr>
              <w:spacing w:after="160" w:line="259" w:lineRule="auto"/>
            </w:pPr>
          </w:p>
        </w:tc>
      </w:tr>
      <w:tr w14:paraId="5271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8" w:type="dxa"/>
            <w:gridSpan w:val="2"/>
            <w:tcBorders>
              <w:top w:val="nil"/>
              <w:left w:val="outset" w:color="auto" w:sz="6" w:space="0"/>
              <w:bottom w:val="outset" w:color="auto" w:sz="6" w:space="0"/>
              <w:right w:val="outset" w:color="auto" w:sz="6" w:space="0"/>
            </w:tcBorders>
          </w:tcPr>
          <w:p w14:paraId="6B82B573">
            <w:pPr>
              <w:spacing w:after="160" w:line="259" w:lineRule="auto"/>
            </w:pPr>
            <w:r>
              <w:t>Comentário</w:t>
            </w:r>
          </w:p>
        </w:tc>
        <w:tc>
          <w:tcPr>
            <w:tcW w:w="6528" w:type="dxa"/>
            <w:tcBorders>
              <w:top w:val="nil"/>
              <w:left w:val="outset" w:color="auto" w:sz="6" w:space="0"/>
              <w:bottom w:val="outset" w:color="auto" w:sz="6" w:space="0"/>
              <w:right w:val="outset" w:color="auto" w:sz="6" w:space="0"/>
            </w:tcBorders>
          </w:tcPr>
          <w:p w14:paraId="432131A9">
            <w:pPr>
              <w:spacing w:after="160" w:line="259" w:lineRule="auto"/>
              <w:jc w:val="both"/>
            </w:pPr>
            <w:r>
              <w:t>Calculado conforme Relatório do 3º Ciclo de Monitoramento das Metas do Plano Nacional de Educação - 2020 (INEP). Fonte: Pesquisa de Informações Básicas Municipais/IBGE 2014 -2018. Os dados são provenientes da MUNIC, cujo Suplemento Educação ocorre em periodicidade irregular e por solicitação do MEC. As MUNICS de 2019 e 2020</w:t>
            </w:r>
            <w:r>
              <w:rPr>
                <w:rFonts w:hint="default"/>
                <w:lang w:val="pt-BR"/>
              </w:rPr>
              <w:t>, 2022 e 2023</w:t>
            </w:r>
            <w:r>
              <w:t xml:space="preserve"> não possuíam esse suplemento.</w:t>
            </w:r>
          </w:p>
        </w:tc>
      </w:tr>
    </w:tbl>
    <w:p w14:paraId="4A673C1F">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1515"/>
        <w:gridCol w:w="1455"/>
        <w:gridCol w:w="1455"/>
        <w:gridCol w:w="6889"/>
      </w:tblGrid>
      <w:tr w14:paraId="3D07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29" w:type="dxa"/>
            <w:gridSpan w:val="5"/>
          </w:tcPr>
          <w:p w14:paraId="692E0138">
            <w:pPr>
              <w:jc w:val="center"/>
              <w:rPr>
                <w:rFonts w:hint="default"/>
                <w:b/>
                <w:bCs/>
                <w:vertAlign w:val="baseline"/>
                <w:lang w:val="pt-BR"/>
              </w:rPr>
            </w:pPr>
            <w:r>
              <w:rPr>
                <w:rFonts w:hint="default"/>
                <w:b/>
                <w:bCs/>
                <w:vertAlign w:val="baseline"/>
                <w:lang w:val="pt-BR"/>
              </w:rPr>
              <w:t>Dados/Indicadores:Indicador 18E</w:t>
            </w:r>
          </w:p>
        </w:tc>
      </w:tr>
      <w:tr w14:paraId="417A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6889" w:type="dxa"/>
        </w:trPr>
        <w:tc>
          <w:tcPr>
            <w:tcW w:w="1815" w:type="dxa"/>
            <w:tcBorders>
              <w:top w:val="outset" w:color="auto" w:sz="6" w:space="0"/>
              <w:left w:val="outset" w:color="auto" w:sz="6" w:space="0"/>
              <w:bottom w:val="outset" w:color="auto" w:sz="6" w:space="0"/>
              <w:right w:val="outset" w:color="auto" w:sz="6" w:space="0"/>
            </w:tcBorders>
          </w:tcPr>
          <w:p w14:paraId="1BDEEF5D">
            <w:pPr>
              <w:spacing w:after="160" w:line="259" w:lineRule="auto"/>
              <w:rPr>
                <w:rFonts w:hint="default"/>
                <w:lang w:val="pt-BR"/>
              </w:rPr>
            </w:pPr>
            <w:r>
              <w:rPr>
                <w:rFonts w:hint="default"/>
                <w:lang w:val="pt-BR"/>
              </w:rPr>
              <w:t>Ano</w:t>
            </w:r>
          </w:p>
        </w:tc>
        <w:tc>
          <w:tcPr>
            <w:tcW w:w="1515" w:type="dxa"/>
            <w:tcBorders>
              <w:top w:val="outset" w:color="auto" w:sz="6" w:space="0"/>
              <w:left w:val="outset" w:color="auto" w:sz="6" w:space="0"/>
              <w:bottom w:val="outset" w:color="auto" w:sz="6" w:space="0"/>
              <w:right w:val="outset" w:color="auto" w:sz="6" w:space="0"/>
            </w:tcBorders>
          </w:tcPr>
          <w:p w14:paraId="0204434F">
            <w:pPr>
              <w:spacing w:after="160" w:line="259" w:lineRule="auto"/>
            </w:pPr>
            <w:r>
              <w:t>2014</w:t>
            </w:r>
          </w:p>
        </w:tc>
        <w:tc>
          <w:tcPr>
            <w:tcW w:w="1455" w:type="dxa"/>
            <w:tcBorders>
              <w:top w:val="outset" w:color="auto" w:sz="6" w:space="0"/>
              <w:left w:val="outset" w:color="auto" w:sz="6" w:space="0"/>
              <w:bottom w:val="outset" w:color="auto" w:sz="6" w:space="0"/>
              <w:right w:val="outset" w:color="auto" w:sz="6" w:space="0"/>
            </w:tcBorders>
          </w:tcPr>
          <w:p w14:paraId="7B0097BA">
            <w:pPr>
              <w:spacing w:after="160" w:line="259" w:lineRule="auto"/>
            </w:pPr>
            <w:r>
              <w:t>2018</w:t>
            </w:r>
          </w:p>
        </w:tc>
        <w:tc>
          <w:tcPr>
            <w:tcW w:w="1455" w:type="dxa"/>
            <w:tcBorders>
              <w:top w:val="outset" w:color="auto" w:sz="6" w:space="0"/>
              <w:left w:val="outset" w:color="auto" w:sz="6" w:space="0"/>
              <w:bottom w:val="outset" w:color="auto" w:sz="6" w:space="0"/>
              <w:right w:val="outset" w:color="auto" w:sz="6" w:space="0"/>
            </w:tcBorders>
          </w:tcPr>
          <w:p w14:paraId="3C723039">
            <w:pPr>
              <w:spacing w:after="160" w:line="259" w:lineRule="auto"/>
            </w:pPr>
            <w:r>
              <w:t>2021</w:t>
            </w:r>
          </w:p>
        </w:tc>
      </w:tr>
      <w:tr w14:paraId="03BF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6889" w:type="dxa"/>
        </w:trPr>
        <w:tc>
          <w:tcPr>
            <w:tcW w:w="1815" w:type="dxa"/>
            <w:tcBorders>
              <w:top w:val="nil"/>
              <w:left w:val="outset" w:color="auto" w:sz="6" w:space="0"/>
              <w:bottom w:val="outset" w:color="auto" w:sz="6" w:space="0"/>
              <w:right w:val="outset" w:color="auto" w:sz="6" w:space="0"/>
            </w:tcBorders>
          </w:tcPr>
          <w:p w14:paraId="76711BE2">
            <w:pPr>
              <w:spacing w:after="160" w:line="259" w:lineRule="auto"/>
              <w:rPr>
                <w:b/>
              </w:rPr>
            </w:pPr>
            <w:r>
              <w:rPr>
                <w:b w:val="0"/>
                <w:bCs/>
              </w:rPr>
              <w:t>Indicador</w:t>
            </w:r>
          </w:p>
        </w:tc>
        <w:tc>
          <w:tcPr>
            <w:tcW w:w="1515" w:type="dxa"/>
            <w:tcBorders>
              <w:top w:val="nil"/>
              <w:left w:val="outset" w:color="auto" w:sz="6" w:space="0"/>
              <w:bottom w:val="outset" w:color="auto" w:sz="6" w:space="0"/>
              <w:right w:val="outset" w:color="auto" w:sz="6" w:space="0"/>
            </w:tcBorders>
          </w:tcPr>
          <w:p w14:paraId="3E493407">
            <w:pPr>
              <w:spacing w:after="160" w:line="259" w:lineRule="auto"/>
            </w:pPr>
            <w:r>
              <w:t>Sim</w:t>
            </w:r>
          </w:p>
        </w:tc>
        <w:tc>
          <w:tcPr>
            <w:tcW w:w="1455" w:type="dxa"/>
            <w:tcBorders>
              <w:top w:val="nil"/>
              <w:left w:val="outset" w:color="auto" w:sz="6" w:space="0"/>
              <w:bottom w:val="outset" w:color="auto" w:sz="6" w:space="0"/>
              <w:right w:val="outset" w:color="auto" w:sz="6" w:space="0"/>
            </w:tcBorders>
          </w:tcPr>
          <w:p w14:paraId="7DB54729">
            <w:pPr>
              <w:spacing w:after="160" w:line="259" w:lineRule="auto"/>
            </w:pPr>
            <w:r>
              <w:t>Sim</w:t>
            </w:r>
          </w:p>
        </w:tc>
        <w:tc>
          <w:tcPr>
            <w:tcW w:w="1455" w:type="dxa"/>
            <w:tcBorders>
              <w:top w:val="nil"/>
              <w:left w:val="outset" w:color="auto" w:sz="6" w:space="0"/>
              <w:bottom w:val="outset" w:color="auto" w:sz="6" w:space="0"/>
              <w:right w:val="outset" w:color="auto" w:sz="6" w:space="0"/>
            </w:tcBorders>
          </w:tcPr>
          <w:p w14:paraId="4529C066">
            <w:pPr>
              <w:spacing w:after="160" w:line="259" w:lineRule="auto"/>
            </w:pPr>
            <w:r>
              <w:t>Sim</w:t>
            </w:r>
          </w:p>
        </w:tc>
      </w:tr>
      <w:tr w14:paraId="2BAE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9" w:type="dxa"/>
            <w:gridSpan w:val="5"/>
          </w:tcPr>
          <w:p w14:paraId="0030CE27">
            <w:pPr>
              <w:jc w:val="center"/>
              <w:rPr>
                <w:rFonts w:hint="default"/>
                <w:vertAlign w:val="baseline"/>
                <w:lang w:val="pt-BR"/>
              </w:rPr>
            </w:pPr>
            <w:r>
              <w:rPr>
                <w:rFonts w:hint="default"/>
                <w:vertAlign w:val="baseline"/>
                <w:lang w:val="pt-BR"/>
              </w:rPr>
              <w:t>Fonte: IBGE - MUNIC</w:t>
            </w:r>
          </w:p>
        </w:tc>
      </w:tr>
    </w:tbl>
    <w:p w14:paraId="0E4813B7"/>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7"/>
        <w:gridCol w:w="6525"/>
        <w:gridCol w:w="89"/>
      </w:tblGrid>
      <w:tr w14:paraId="2F63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503A9B95">
            <w:pPr>
              <w:jc w:val="center"/>
              <w:rPr>
                <w:rFonts w:hint="default"/>
                <w:b/>
                <w:bCs/>
                <w:vertAlign w:val="baseline"/>
                <w:lang w:val="pt-BR"/>
              </w:rPr>
            </w:pPr>
            <w:r>
              <w:rPr>
                <w:rFonts w:hint="default"/>
                <w:b/>
                <w:bCs/>
                <w:vertAlign w:val="baseline"/>
                <w:lang w:val="pt-BR"/>
              </w:rPr>
              <w:t>Ficha metodológica para o indicador 18F - base PNE</w:t>
            </w:r>
          </w:p>
        </w:tc>
      </w:tr>
      <w:tr w14:paraId="0047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1B5E0B69">
            <w:pPr>
              <w:spacing w:after="160" w:line="259" w:lineRule="auto"/>
              <w:rPr>
                <w:b/>
              </w:rPr>
            </w:pP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426F0800">
            <w:pPr>
              <w:spacing w:after="160" w:line="259" w:lineRule="auto"/>
              <w:rPr>
                <w:b/>
              </w:rPr>
            </w:pPr>
            <w:r>
              <w:rPr>
                <w:b/>
              </w:rPr>
              <w:t>Texto da meta</w:t>
            </w:r>
          </w:p>
        </w:tc>
      </w:tr>
      <w:tr w14:paraId="3D54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4B0E96A4">
            <w:pPr>
              <w:spacing w:after="160" w:line="259" w:lineRule="auto"/>
            </w:pPr>
            <w:r>
              <w:t>18</w:t>
            </w:r>
          </w:p>
          <w:p w14:paraId="53DD6A4E">
            <w:pPr>
              <w:spacing w:after="160" w:line="259" w:lineRule="auto"/>
            </w:pPr>
          </w:p>
        </w:tc>
        <w:tc>
          <w:tcPr>
            <w:tcW w:w="6532" w:type="dxa"/>
            <w:gridSpan w:val="2"/>
            <w:tcBorders>
              <w:top w:val="nil"/>
              <w:left w:val="outset" w:color="auto" w:sz="6" w:space="0"/>
              <w:bottom w:val="outset" w:color="auto" w:sz="6" w:space="0"/>
              <w:right w:val="outset" w:color="auto" w:sz="6" w:space="0"/>
            </w:tcBorders>
          </w:tcPr>
          <w:p w14:paraId="6BFA61E3">
            <w:pPr>
              <w:spacing w:after="160" w:line="259" w:lineRule="auto"/>
              <w:jc w:val="both"/>
              <w:rPr>
                <w:i/>
              </w:rPr>
            </w:pPr>
            <w:r>
              <w:rPr>
                <w:bCs/>
              </w:rPr>
              <w:t>Assegurar, a atualização e implantação do plano de carreira para os profissionais da Educação Básica pública do município e tomar como referência o Piso Salarial Nacional Profissional, definido em lei federal, nos termos do inciso VIII do art. 206 Constituição Federal.</w:t>
            </w:r>
          </w:p>
        </w:tc>
      </w:tr>
      <w:tr w14:paraId="3591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outset" w:color="auto" w:sz="6" w:space="0"/>
              <w:left w:val="outset" w:color="auto" w:sz="6" w:space="0"/>
              <w:bottom w:val="outset" w:color="auto" w:sz="6" w:space="0"/>
              <w:right w:val="outset" w:color="auto" w:sz="6" w:space="0"/>
            </w:tcBorders>
          </w:tcPr>
          <w:p w14:paraId="5994BC1D">
            <w:pPr>
              <w:spacing w:after="160" w:line="259" w:lineRule="auto"/>
              <w:rPr>
                <w:rFonts w:hint="default"/>
                <w:lang w:val="pt-BR"/>
              </w:rPr>
            </w:pPr>
            <w:r>
              <w:t xml:space="preserve">Indicador </w:t>
            </w:r>
            <w:r>
              <w:rPr>
                <w:rFonts w:hint="default"/>
                <w:lang w:val="pt-BR"/>
              </w:rPr>
              <w:t>18F Nacional</w:t>
            </w:r>
          </w:p>
        </w:tc>
        <w:tc>
          <w:tcPr>
            <w:tcW w:w="6525" w:type="dxa"/>
            <w:tcBorders>
              <w:top w:val="outset" w:color="auto" w:sz="6" w:space="0"/>
              <w:left w:val="outset" w:color="auto" w:sz="6" w:space="0"/>
              <w:bottom w:val="outset" w:color="auto" w:sz="6" w:space="0"/>
              <w:right w:val="outset" w:color="auto" w:sz="6" w:space="0"/>
            </w:tcBorders>
          </w:tcPr>
          <w:p w14:paraId="0A0CCF57">
            <w:pPr>
              <w:spacing w:after="160" w:line="259" w:lineRule="auto"/>
            </w:pPr>
            <w:r>
              <w:t>Percentual de municípios que preveem o limite máximo de 2/3 da carga horária para atividades de interação com os educandos</w:t>
            </w:r>
          </w:p>
        </w:tc>
      </w:tr>
      <w:tr w14:paraId="4EEF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outset" w:color="auto" w:sz="6" w:space="0"/>
              <w:left w:val="outset" w:color="auto" w:sz="6" w:space="0"/>
              <w:bottom w:val="outset" w:color="auto" w:sz="6" w:space="0"/>
              <w:right w:val="outset" w:color="auto" w:sz="6" w:space="0"/>
            </w:tcBorders>
          </w:tcPr>
          <w:p w14:paraId="1404C629">
            <w:pPr>
              <w:spacing w:after="160" w:line="259" w:lineRule="auto"/>
              <w:rPr>
                <w:rFonts w:hint="default"/>
                <w:lang w:val="pt-BR"/>
              </w:rPr>
            </w:pPr>
            <w:r>
              <w:rPr>
                <w:rFonts w:hint="default"/>
                <w:lang w:val="pt-BR"/>
              </w:rPr>
              <w:t>Indicador 18F Proposto</w:t>
            </w:r>
          </w:p>
        </w:tc>
        <w:tc>
          <w:tcPr>
            <w:tcW w:w="6525" w:type="dxa"/>
            <w:tcBorders>
              <w:top w:val="outset" w:color="auto" w:sz="6" w:space="0"/>
              <w:left w:val="outset" w:color="auto" w:sz="6" w:space="0"/>
              <w:bottom w:val="outset" w:color="auto" w:sz="6" w:space="0"/>
              <w:right w:val="outset" w:color="auto" w:sz="6" w:space="0"/>
            </w:tcBorders>
          </w:tcPr>
          <w:p w14:paraId="363ED2C5">
            <w:pPr>
              <w:spacing w:after="160" w:line="259" w:lineRule="auto"/>
              <w:rPr>
                <w:rFonts w:hint="default"/>
                <w:lang w:val="pt-BR"/>
              </w:rPr>
            </w:pPr>
            <w:r>
              <w:rPr>
                <w:rFonts w:hint="default"/>
                <w:lang w:val="pt-BR"/>
              </w:rPr>
              <w:t>Replicar o nacional</w:t>
            </w:r>
          </w:p>
        </w:tc>
      </w:tr>
      <w:tr w14:paraId="5A13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0F1F6236">
            <w:pPr>
              <w:spacing w:after="160" w:line="259" w:lineRule="auto"/>
            </w:pPr>
            <w:r>
              <w:t>Fórmula de cálculo</w:t>
            </w:r>
          </w:p>
        </w:tc>
        <w:tc>
          <w:tcPr>
            <w:tcW w:w="6525" w:type="dxa"/>
            <w:tcBorders>
              <w:top w:val="nil"/>
              <w:left w:val="outset" w:color="auto" w:sz="6" w:space="0"/>
              <w:bottom w:val="outset" w:color="auto" w:sz="6" w:space="0"/>
              <w:right w:val="outset" w:color="auto" w:sz="6" w:space="0"/>
            </w:tcBorders>
          </w:tcPr>
          <w:p w14:paraId="596EFA58">
            <w:pPr>
              <w:spacing w:after="160" w:line="259" w:lineRule="auto"/>
            </w:pPr>
            <w:r>
              <w:t>(Municípios que preveem o limite máximo de 2/3 da carga horária para a atividade de interação com os educandos /Total e municípios) x 100</w:t>
            </w:r>
          </w:p>
        </w:tc>
      </w:tr>
      <w:tr w14:paraId="7495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69A7B68A">
            <w:pPr>
              <w:spacing w:after="160" w:line="259" w:lineRule="auto"/>
            </w:pPr>
            <w:r>
              <w:t>Comentário</w:t>
            </w:r>
          </w:p>
        </w:tc>
        <w:tc>
          <w:tcPr>
            <w:tcW w:w="6525" w:type="dxa"/>
            <w:tcBorders>
              <w:top w:val="nil"/>
              <w:left w:val="outset" w:color="auto" w:sz="6" w:space="0"/>
              <w:bottom w:val="outset" w:color="auto" w:sz="6" w:space="0"/>
              <w:right w:val="outset" w:color="auto" w:sz="6" w:space="0"/>
            </w:tcBorders>
          </w:tcPr>
          <w:p w14:paraId="19EF4CF0">
            <w:pPr>
              <w:spacing w:after="160" w:line="259" w:lineRule="auto"/>
              <w:jc w:val="both"/>
            </w:pPr>
            <w:r>
              <w:t>Calculado conforme Relatório do 3º Ciclo de Monitoramento das Metas do Plano Nacional de Educação - 2020 (INEP). Fonte: Pesquisa de Informações Básicas Municipais/IBGE – 2018. Os dados são provenientes da MUNIC, cujo Suplemento Educação ocorre em periodicidade irregular e por solicitação do MEC. As MUNICS de 2019 e 2020</w:t>
            </w:r>
            <w:r>
              <w:rPr>
                <w:rFonts w:hint="default"/>
                <w:lang w:val="pt-BR"/>
              </w:rPr>
              <w:t xml:space="preserve">, 2022 e 2023 </w:t>
            </w:r>
            <w:r>
              <w:t>não possuíam esse suplemento.</w:t>
            </w:r>
          </w:p>
        </w:tc>
      </w:tr>
    </w:tbl>
    <w:p w14:paraId="0779D7AD">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1455"/>
        <w:gridCol w:w="1455"/>
        <w:gridCol w:w="8404"/>
      </w:tblGrid>
      <w:tr w14:paraId="3F9A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9" w:type="dxa"/>
            <w:gridSpan w:val="4"/>
          </w:tcPr>
          <w:p w14:paraId="5C65183E">
            <w:pPr>
              <w:jc w:val="center"/>
              <w:rPr>
                <w:rFonts w:hint="default"/>
                <w:b/>
                <w:bCs/>
                <w:vertAlign w:val="baseline"/>
                <w:lang w:val="pt-BR"/>
              </w:rPr>
            </w:pPr>
            <w:r>
              <w:rPr>
                <w:rFonts w:hint="default"/>
                <w:b/>
                <w:bCs/>
                <w:vertAlign w:val="baseline"/>
                <w:lang w:val="pt-BR"/>
              </w:rPr>
              <w:t>Dados/Indicadores:Indicador 18F</w:t>
            </w:r>
          </w:p>
        </w:tc>
      </w:tr>
      <w:tr w14:paraId="3462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404" w:type="dxa"/>
        </w:trPr>
        <w:tc>
          <w:tcPr>
            <w:tcW w:w="1815" w:type="dxa"/>
            <w:tcBorders>
              <w:top w:val="outset" w:color="auto" w:sz="6" w:space="0"/>
              <w:left w:val="outset" w:color="auto" w:sz="6" w:space="0"/>
              <w:bottom w:val="outset" w:color="auto" w:sz="6" w:space="0"/>
              <w:right w:val="outset" w:color="auto" w:sz="6" w:space="0"/>
            </w:tcBorders>
          </w:tcPr>
          <w:p w14:paraId="539582E7">
            <w:pPr>
              <w:spacing w:after="160" w:line="259" w:lineRule="auto"/>
              <w:rPr>
                <w:rFonts w:hint="default"/>
                <w:lang w:val="pt-BR"/>
              </w:rPr>
            </w:pPr>
            <w:r>
              <w:rPr>
                <w:rFonts w:hint="default"/>
                <w:lang w:val="pt-BR"/>
              </w:rPr>
              <w:t>Ano</w:t>
            </w:r>
          </w:p>
        </w:tc>
        <w:tc>
          <w:tcPr>
            <w:tcW w:w="1455" w:type="dxa"/>
            <w:tcBorders>
              <w:top w:val="outset" w:color="auto" w:sz="6" w:space="0"/>
              <w:left w:val="outset" w:color="auto" w:sz="6" w:space="0"/>
              <w:bottom w:val="outset" w:color="auto" w:sz="6" w:space="0"/>
              <w:right w:val="outset" w:color="auto" w:sz="6" w:space="0"/>
            </w:tcBorders>
          </w:tcPr>
          <w:p w14:paraId="1A592C03">
            <w:pPr>
              <w:spacing w:after="160" w:line="259" w:lineRule="auto"/>
            </w:pPr>
            <w:r>
              <w:t>2018</w:t>
            </w:r>
          </w:p>
        </w:tc>
        <w:tc>
          <w:tcPr>
            <w:tcW w:w="1455" w:type="dxa"/>
            <w:tcBorders>
              <w:top w:val="outset" w:color="auto" w:sz="6" w:space="0"/>
              <w:left w:val="outset" w:color="auto" w:sz="6" w:space="0"/>
              <w:bottom w:val="outset" w:color="auto" w:sz="6" w:space="0"/>
              <w:right w:val="outset" w:color="auto" w:sz="6" w:space="0"/>
            </w:tcBorders>
          </w:tcPr>
          <w:p w14:paraId="1DDF64F3">
            <w:pPr>
              <w:spacing w:after="160" w:line="259" w:lineRule="auto"/>
            </w:pPr>
            <w:r>
              <w:t>2021</w:t>
            </w:r>
          </w:p>
        </w:tc>
      </w:tr>
      <w:tr w14:paraId="507E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404" w:type="dxa"/>
        </w:trPr>
        <w:tc>
          <w:tcPr>
            <w:tcW w:w="1815" w:type="dxa"/>
            <w:tcBorders>
              <w:top w:val="nil"/>
              <w:left w:val="outset" w:color="auto" w:sz="6" w:space="0"/>
              <w:bottom w:val="outset" w:color="auto" w:sz="6" w:space="0"/>
              <w:right w:val="outset" w:color="auto" w:sz="6" w:space="0"/>
            </w:tcBorders>
          </w:tcPr>
          <w:p w14:paraId="74E61760">
            <w:pPr>
              <w:spacing w:after="160" w:line="259" w:lineRule="auto"/>
              <w:rPr>
                <w:b w:val="0"/>
                <w:bCs/>
              </w:rPr>
            </w:pPr>
            <w:r>
              <w:rPr>
                <w:b w:val="0"/>
                <w:bCs/>
              </w:rPr>
              <w:t xml:space="preserve">Indicador </w:t>
            </w:r>
          </w:p>
        </w:tc>
        <w:tc>
          <w:tcPr>
            <w:tcW w:w="1455" w:type="dxa"/>
            <w:tcBorders>
              <w:top w:val="nil"/>
              <w:left w:val="outset" w:color="auto" w:sz="6" w:space="0"/>
              <w:bottom w:val="outset" w:color="auto" w:sz="6" w:space="0"/>
              <w:right w:val="outset" w:color="auto" w:sz="6" w:space="0"/>
            </w:tcBorders>
          </w:tcPr>
          <w:p w14:paraId="0B93C04F">
            <w:pPr>
              <w:spacing w:after="160" w:line="259" w:lineRule="auto"/>
              <w:rPr>
                <w:b w:val="0"/>
                <w:bCs/>
              </w:rPr>
            </w:pPr>
            <w:r>
              <w:rPr>
                <w:b w:val="0"/>
                <w:bCs/>
              </w:rPr>
              <w:t>Sim</w:t>
            </w:r>
          </w:p>
        </w:tc>
        <w:tc>
          <w:tcPr>
            <w:tcW w:w="1455" w:type="dxa"/>
            <w:tcBorders>
              <w:top w:val="nil"/>
              <w:left w:val="outset" w:color="auto" w:sz="6" w:space="0"/>
              <w:bottom w:val="outset" w:color="auto" w:sz="6" w:space="0"/>
              <w:right w:val="outset" w:color="auto" w:sz="6" w:space="0"/>
            </w:tcBorders>
          </w:tcPr>
          <w:p w14:paraId="394A0B48">
            <w:pPr>
              <w:spacing w:after="160" w:line="259" w:lineRule="auto"/>
              <w:rPr>
                <w:b w:val="0"/>
                <w:bCs/>
              </w:rPr>
            </w:pPr>
            <w:r>
              <w:rPr>
                <w:b w:val="0"/>
                <w:bCs/>
              </w:rPr>
              <w:t>Sim</w:t>
            </w:r>
          </w:p>
        </w:tc>
      </w:tr>
      <w:tr w14:paraId="37CA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9" w:type="dxa"/>
            <w:gridSpan w:val="4"/>
          </w:tcPr>
          <w:p w14:paraId="633BE4DE">
            <w:pPr>
              <w:jc w:val="center"/>
              <w:rPr>
                <w:rFonts w:hint="default"/>
                <w:vertAlign w:val="baseline"/>
                <w:lang w:val="pt-BR"/>
              </w:rPr>
            </w:pPr>
            <w:r>
              <w:rPr>
                <w:rFonts w:hint="default"/>
                <w:vertAlign w:val="baseline"/>
                <w:lang w:val="pt-BR"/>
              </w:rPr>
              <w:t>Fonte: IBGE - MUNIC</w:t>
            </w:r>
          </w:p>
        </w:tc>
      </w:tr>
    </w:tbl>
    <w:p w14:paraId="30A279CE"/>
    <w:p w14:paraId="22590E07"/>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7"/>
        <w:gridCol w:w="6525"/>
        <w:gridCol w:w="89"/>
      </w:tblGrid>
      <w:tr w14:paraId="2811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23936600">
            <w:pPr>
              <w:jc w:val="center"/>
              <w:rPr>
                <w:rFonts w:hint="default"/>
                <w:b/>
                <w:bCs/>
                <w:vertAlign w:val="baseline"/>
                <w:lang w:val="pt-BR"/>
              </w:rPr>
            </w:pPr>
            <w:r>
              <w:rPr>
                <w:rFonts w:hint="default"/>
                <w:b/>
                <w:bCs/>
                <w:vertAlign w:val="baseline"/>
                <w:lang w:val="pt-BR"/>
              </w:rPr>
              <w:t>Ficha metodológica para o indicador 18G - base PNE</w:t>
            </w:r>
          </w:p>
        </w:tc>
      </w:tr>
      <w:tr w14:paraId="1083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36C8B9CB">
            <w:pPr>
              <w:spacing w:after="160" w:line="259" w:lineRule="auto"/>
              <w:rPr>
                <w:b/>
              </w:rPr>
            </w:pP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2744AC47">
            <w:pPr>
              <w:spacing w:after="160" w:line="259" w:lineRule="auto"/>
              <w:rPr>
                <w:b/>
              </w:rPr>
            </w:pPr>
            <w:r>
              <w:rPr>
                <w:b/>
              </w:rPr>
              <w:t>Texto da meta</w:t>
            </w:r>
          </w:p>
        </w:tc>
      </w:tr>
      <w:tr w14:paraId="11F8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513695BF">
            <w:pPr>
              <w:spacing w:after="160" w:line="259" w:lineRule="auto"/>
            </w:pPr>
            <w:r>
              <w:t>18</w:t>
            </w:r>
          </w:p>
          <w:p w14:paraId="7075DF46">
            <w:pPr>
              <w:spacing w:after="160" w:line="259" w:lineRule="auto"/>
            </w:pPr>
          </w:p>
        </w:tc>
        <w:tc>
          <w:tcPr>
            <w:tcW w:w="6532" w:type="dxa"/>
            <w:gridSpan w:val="2"/>
            <w:tcBorders>
              <w:top w:val="nil"/>
              <w:left w:val="outset" w:color="auto" w:sz="6" w:space="0"/>
              <w:bottom w:val="outset" w:color="auto" w:sz="6" w:space="0"/>
              <w:right w:val="outset" w:color="auto" w:sz="6" w:space="0"/>
            </w:tcBorders>
          </w:tcPr>
          <w:p w14:paraId="5789F322">
            <w:pPr>
              <w:spacing w:after="160" w:line="259" w:lineRule="auto"/>
              <w:jc w:val="both"/>
              <w:rPr>
                <w:i/>
              </w:rPr>
            </w:pPr>
            <w:r>
              <w:rPr>
                <w:bCs/>
              </w:rPr>
              <w:t>Assegurar, a atualização e implantação do plano de carreira para os profissionais da Educação Básica pública do município e tomar como referência o Piso Salarial Nacional Profissional, definido em lei federal, nos termos do inciso VIII do art. 206 Constituição Federal.</w:t>
            </w:r>
          </w:p>
        </w:tc>
      </w:tr>
      <w:tr w14:paraId="31C1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outset" w:color="auto" w:sz="6" w:space="0"/>
              <w:left w:val="outset" w:color="auto" w:sz="6" w:space="0"/>
              <w:bottom w:val="outset" w:color="auto" w:sz="6" w:space="0"/>
              <w:right w:val="outset" w:color="auto" w:sz="6" w:space="0"/>
            </w:tcBorders>
          </w:tcPr>
          <w:p w14:paraId="26A125A4">
            <w:pPr>
              <w:spacing w:after="160" w:line="259" w:lineRule="auto"/>
              <w:rPr>
                <w:rFonts w:hint="default"/>
                <w:lang w:val="pt-BR"/>
              </w:rPr>
            </w:pPr>
            <w:r>
              <w:t xml:space="preserve">Indicador </w:t>
            </w:r>
            <w:r>
              <w:rPr>
                <w:rFonts w:hint="default"/>
                <w:lang w:val="pt-BR"/>
              </w:rPr>
              <w:t>18G Nacional</w:t>
            </w:r>
          </w:p>
        </w:tc>
        <w:tc>
          <w:tcPr>
            <w:tcW w:w="6525" w:type="dxa"/>
            <w:tcBorders>
              <w:top w:val="outset" w:color="auto" w:sz="6" w:space="0"/>
              <w:left w:val="outset" w:color="auto" w:sz="6" w:space="0"/>
              <w:bottom w:val="outset" w:color="auto" w:sz="6" w:space="0"/>
              <w:right w:val="outset" w:color="auto" w:sz="6" w:space="0"/>
            </w:tcBorders>
          </w:tcPr>
          <w:p w14:paraId="6C380284">
            <w:pPr>
              <w:spacing w:after="160" w:line="259" w:lineRule="auto"/>
              <w:rPr>
                <w:rFonts w:hint="default"/>
                <w:lang w:val="pt-BR"/>
              </w:rPr>
            </w:pPr>
            <w:r>
              <w:t xml:space="preserve">Percentual de municípios que </w:t>
            </w:r>
            <w:r>
              <w:rPr>
                <w:rFonts w:hint="default"/>
                <w:lang w:val="pt-BR"/>
              </w:rPr>
              <w:t>atendem ao PSNP</w:t>
            </w:r>
          </w:p>
        </w:tc>
      </w:tr>
      <w:tr w14:paraId="4AD8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outset" w:color="auto" w:sz="6" w:space="0"/>
              <w:left w:val="outset" w:color="auto" w:sz="6" w:space="0"/>
              <w:bottom w:val="outset" w:color="auto" w:sz="6" w:space="0"/>
              <w:right w:val="outset" w:color="auto" w:sz="6" w:space="0"/>
            </w:tcBorders>
          </w:tcPr>
          <w:p w14:paraId="6EBB8A5C">
            <w:pPr>
              <w:spacing w:after="160" w:line="259" w:lineRule="auto"/>
              <w:rPr>
                <w:rFonts w:hint="default"/>
                <w:lang w:val="pt-BR"/>
              </w:rPr>
            </w:pPr>
            <w:r>
              <w:rPr>
                <w:rFonts w:hint="default"/>
                <w:lang w:val="pt-BR"/>
              </w:rPr>
              <w:t>Indicador 18G Proposto</w:t>
            </w:r>
          </w:p>
        </w:tc>
        <w:tc>
          <w:tcPr>
            <w:tcW w:w="6525" w:type="dxa"/>
            <w:tcBorders>
              <w:top w:val="outset" w:color="auto" w:sz="6" w:space="0"/>
              <w:left w:val="outset" w:color="auto" w:sz="6" w:space="0"/>
              <w:bottom w:val="outset" w:color="auto" w:sz="6" w:space="0"/>
              <w:right w:val="outset" w:color="auto" w:sz="6" w:space="0"/>
            </w:tcBorders>
          </w:tcPr>
          <w:p w14:paraId="15847EC9">
            <w:pPr>
              <w:spacing w:after="160" w:line="259" w:lineRule="auto"/>
              <w:rPr>
                <w:rFonts w:hint="default"/>
                <w:lang w:val="pt-BR"/>
              </w:rPr>
            </w:pPr>
            <w:r>
              <w:rPr>
                <w:rFonts w:hint="default"/>
                <w:lang w:val="pt-BR"/>
              </w:rPr>
              <w:t>Municipios com PSNP definido em lei municipal</w:t>
            </w:r>
          </w:p>
        </w:tc>
      </w:tr>
      <w:tr w14:paraId="07A3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outset" w:color="auto" w:sz="6" w:space="0"/>
              <w:left w:val="outset" w:color="auto" w:sz="6" w:space="0"/>
              <w:bottom w:val="outset" w:color="auto" w:sz="6" w:space="0"/>
              <w:right w:val="outset" w:color="auto" w:sz="6" w:space="0"/>
            </w:tcBorders>
          </w:tcPr>
          <w:p w14:paraId="134C3117">
            <w:pPr>
              <w:spacing w:after="160" w:line="259" w:lineRule="auto"/>
              <w:rPr>
                <w:rFonts w:hint="default"/>
                <w:lang w:val="pt-BR"/>
              </w:rPr>
            </w:pPr>
            <w:r>
              <w:rPr>
                <w:rFonts w:hint="default"/>
                <w:lang w:val="pt-BR"/>
              </w:rPr>
              <w:t>Conceitos e definições</w:t>
            </w:r>
          </w:p>
        </w:tc>
        <w:tc>
          <w:tcPr>
            <w:tcW w:w="6525" w:type="dxa"/>
            <w:tcBorders>
              <w:top w:val="outset" w:color="auto" w:sz="6" w:space="0"/>
              <w:left w:val="outset" w:color="auto" w:sz="6" w:space="0"/>
              <w:bottom w:val="outset" w:color="auto" w:sz="6" w:space="0"/>
              <w:right w:val="outset" w:color="auto" w:sz="6" w:space="0"/>
            </w:tcBorders>
          </w:tcPr>
          <w:p w14:paraId="2101E309">
            <w:pPr>
              <w:spacing w:after="160" w:line="259" w:lineRule="auto"/>
              <w:rPr>
                <w:rFonts w:hint="default"/>
                <w:lang w:val="pt-BR"/>
              </w:rPr>
            </w:pPr>
            <w:r>
              <w:rPr>
                <w:rFonts w:hint="default"/>
                <w:lang w:val="pt-BR"/>
              </w:rPr>
              <w:t>Verificar se o Piso Salarial da carreira do magistério público está definido em lei municipal</w:t>
            </w:r>
          </w:p>
        </w:tc>
      </w:tr>
      <w:tr w14:paraId="2D69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1325CE0C">
            <w:pPr>
              <w:spacing w:after="160" w:line="259" w:lineRule="auto"/>
            </w:pPr>
            <w:r>
              <w:t>Fórmula de cálculo</w:t>
            </w:r>
          </w:p>
        </w:tc>
        <w:tc>
          <w:tcPr>
            <w:tcW w:w="6525" w:type="dxa"/>
            <w:tcBorders>
              <w:top w:val="nil"/>
              <w:left w:val="outset" w:color="auto" w:sz="6" w:space="0"/>
              <w:bottom w:val="outset" w:color="auto" w:sz="6" w:space="0"/>
              <w:right w:val="outset" w:color="auto" w:sz="6" w:space="0"/>
            </w:tcBorders>
          </w:tcPr>
          <w:p w14:paraId="31947F18">
            <w:pPr>
              <w:spacing w:after="160" w:line="259" w:lineRule="auto"/>
              <w:rPr>
                <w:rFonts w:hint="default"/>
                <w:lang w:val="pt-BR"/>
              </w:rPr>
            </w:pPr>
            <w:r>
              <w:rPr>
                <w:rFonts w:hint="default"/>
                <w:lang w:val="pt-BR"/>
              </w:rPr>
              <w:t>Não se aplica</w:t>
            </w:r>
          </w:p>
        </w:tc>
      </w:tr>
      <w:tr w14:paraId="772E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13082DFA">
            <w:pPr>
              <w:spacing w:after="160" w:line="259" w:lineRule="auto"/>
              <w:rPr>
                <w:rFonts w:hint="default"/>
                <w:lang w:val="pt-BR"/>
              </w:rPr>
            </w:pPr>
            <w:r>
              <w:rPr>
                <w:rFonts w:hint="default"/>
                <w:lang w:val="pt-BR"/>
              </w:rPr>
              <w:t>Unidade de medida</w:t>
            </w:r>
          </w:p>
        </w:tc>
        <w:tc>
          <w:tcPr>
            <w:tcW w:w="6525" w:type="dxa"/>
            <w:tcBorders>
              <w:top w:val="nil"/>
              <w:left w:val="outset" w:color="auto" w:sz="6" w:space="0"/>
              <w:bottom w:val="outset" w:color="auto" w:sz="6" w:space="0"/>
              <w:right w:val="outset" w:color="auto" w:sz="6" w:space="0"/>
            </w:tcBorders>
          </w:tcPr>
          <w:p w14:paraId="55301D3D">
            <w:pPr>
              <w:spacing w:after="160" w:line="259" w:lineRule="auto"/>
              <w:rPr>
                <w:rFonts w:hint="default"/>
                <w:lang w:val="pt-BR"/>
              </w:rPr>
            </w:pPr>
            <w:r>
              <w:rPr>
                <w:rFonts w:hint="default"/>
                <w:lang w:val="pt-BR"/>
              </w:rPr>
              <w:t xml:space="preserve">Dicotômica (sim ou não) acerca da existência da Lei no município. </w:t>
            </w:r>
          </w:p>
        </w:tc>
      </w:tr>
      <w:tr w14:paraId="0695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5DCBF2DD">
            <w:pPr>
              <w:spacing w:after="160" w:line="259" w:lineRule="auto"/>
              <w:jc w:val="both"/>
              <w:rPr>
                <w:rFonts w:hint="default"/>
                <w:lang w:val="pt-BR"/>
              </w:rPr>
            </w:pPr>
            <w:r>
              <w:rPr>
                <w:rFonts w:hint="default"/>
                <w:lang w:val="pt-BR"/>
              </w:rPr>
              <w:t>Variáveis que compõem o indicador, suas respectivas fontes e instituições produtoras.</w:t>
            </w:r>
          </w:p>
        </w:tc>
        <w:tc>
          <w:tcPr>
            <w:tcW w:w="6525" w:type="dxa"/>
            <w:tcBorders>
              <w:top w:val="nil"/>
              <w:left w:val="outset" w:color="auto" w:sz="6" w:space="0"/>
              <w:bottom w:val="outset" w:color="auto" w:sz="6" w:space="0"/>
              <w:right w:val="outset" w:color="auto" w:sz="6" w:space="0"/>
            </w:tcBorders>
          </w:tcPr>
          <w:p w14:paraId="3F0D41A7">
            <w:pPr>
              <w:spacing w:after="160" w:line="259" w:lineRule="auto"/>
              <w:jc w:val="both"/>
              <w:rPr>
                <w:rFonts w:hint="default"/>
                <w:vertAlign w:val="baseline"/>
                <w:lang w:val="pt-BR"/>
              </w:rPr>
            </w:pPr>
            <w:r>
              <w:rPr>
                <w:rFonts w:hint="default"/>
                <w:lang w:val="pt-BR"/>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2162"/>
              <w:gridCol w:w="2162"/>
            </w:tblGrid>
            <w:tr w14:paraId="2C88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6D647044">
                  <w:pPr>
                    <w:spacing w:after="160" w:line="259" w:lineRule="auto"/>
                    <w:jc w:val="center"/>
                    <w:rPr>
                      <w:rFonts w:hint="default"/>
                      <w:vertAlign w:val="baseline"/>
                      <w:lang w:val="pt-BR"/>
                    </w:rPr>
                  </w:pPr>
                  <w:r>
                    <w:rPr>
                      <w:rFonts w:hint="default"/>
                      <w:vertAlign w:val="baseline"/>
                      <w:lang w:val="pt-BR"/>
                    </w:rPr>
                    <w:t>Variáveis</w:t>
                  </w:r>
                </w:p>
              </w:tc>
              <w:tc>
                <w:tcPr>
                  <w:tcW w:w="2165" w:type="dxa"/>
                </w:tcPr>
                <w:p w14:paraId="59E862E4">
                  <w:pPr>
                    <w:spacing w:after="160" w:line="259" w:lineRule="auto"/>
                    <w:jc w:val="center"/>
                    <w:rPr>
                      <w:rFonts w:hint="default"/>
                      <w:vertAlign w:val="baseline"/>
                      <w:lang w:val="pt-BR"/>
                    </w:rPr>
                  </w:pPr>
                  <w:r>
                    <w:rPr>
                      <w:rFonts w:hint="default"/>
                      <w:vertAlign w:val="baseline"/>
                      <w:lang w:val="pt-BR"/>
                    </w:rPr>
                    <w:t>Fontes</w:t>
                  </w:r>
                </w:p>
              </w:tc>
              <w:tc>
                <w:tcPr>
                  <w:tcW w:w="2165" w:type="dxa"/>
                </w:tcPr>
                <w:p w14:paraId="695BEFFF">
                  <w:pPr>
                    <w:spacing w:after="160" w:line="259" w:lineRule="auto"/>
                    <w:jc w:val="center"/>
                    <w:rPr>
                      <w:rFonts w:hint="default"/>
                      <w:vertAlign w:val="baseline"/>
                      <w:lang w:val="pt-BR"/>
                    </w:rPr>
                  </w:pPr>
                  <w:r>
                    <w:rPr>
                      <w:rFonts w:hint="default"/>
                      <w:vertAlign w:val="baseline"/>
                      <w:lang w:val="pt-BR"/>
                    </w:rPr>
                    <w:t>Instituições</w:t>
                  </w:r>
                </w:p>
              </w:tc>
            </w:tr>
            <w:tr w14:paraId="0015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22F01A62">
                  <w:pPr>
                    <w:spacing w:after="160" w:line="259" w:lineRule="auto"/>
                    <w:jc w:val="both"/>
                    <w:rPr>
                      <w:rFonts w:hint="default"/>
                      <w:vertAlign w:val="baseline"/>
                      <w:lang w:val="pt-BR"/>
                    </w:rPr>
                  </w:pPr>
                  <w:r>
                    <w:rPr>
                      <w:rFonts w:hint="default"/>
                      <w:vertAlign w:val="baseline"/>
                      <w:lang w:val="pt-BR"/>
                    </w:rPr>
                    <w:t>MEDU 20</w:t>
                  </w:r>
                </w:p>
              </w:tc>
              <w:tc>
                <w:tcPr>
                  <w:tcW w:w="2165" w:type="dxa"/>
                </w:tcPr>
                <w:p w14:paraId="2679B7EE">
                  <w:pPr>
                    <w:spacing w:after="160" w:line="259" w:lineRule="auto"/>
                    <w:jc w:val="center"/>
                    <w:rPr>
                      <w:rFonts w:hint="default"/>
                      <w:vertAlign w:val="baseline"/>
                      <w:lang w:val="pt-BR"/>
                    </w:rPr>
                  </w:pPr>
                  <w:r>
                    <w:rPr>
                      <w:rFonts w:hint="default"/>
                      <w:vertAlign w:val="baseline"/>
                      <w:lang w:val="pt-BR"/>
                    </w:rPr>
                    <w:t>MUNIC - Pesquisa de informações Básicas Municipais</w:t>
                  </w:r>
                </w:p>
              </w:tc>
              <w:tc>
                <w:tcPr>
                  <w:tcW w:w="2165" w:type="dxa"/>
                </w:tcPr>
                <w:p w14:paraId="7938B8DF">
                  <w:pPr>
                    <w:spacing w:after="160" w:line="259" w:lineRule="auto"/>
                    <w:jc w:val="center"/>
                    <w:rPr>
                      <w:rFonts w:hint="default"/>
                      <w:vertAlign w:val="baseline"/>
                      <w:lang w:val="pt-BR"/>
                    </w:rPr>
                  </w:pPr>
                  <w:r>
                    <w:rPr>
                      <w:rFonts w:hint="default"/>
                      <w:vertAlign w:val="baseline"/>
                      <w:lang w:val="pt-BR"/>
                    </w:rPr>
                    <w:t>IBGE</w:t>
                  </w:r>
                </w:p>
              </w:tc>
            </w:tr>
          </w:tbl>
          <w:p w14:paraId="7AA29BC0">
            <w:pPr>
              <w:spacing w:after="160" w:line="259" w:lineRule="auto"/>
              <w:jc w:val="both"/>
              <w:rPr>
                <w:rFonts w:hint="default"/>
                <w:lang w:val="pt-BR"/>
              </w:rPr>
            </w:pPr>
          </w:p>
        </w:tc>
      </w:tr>
      <w:tr w14:paraId="2B72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3475FCFB">
            <w:pPr>
              <w:spacing w:after="160" w:line="259" w:lineRule="auto"/>
              <w:rPr>
                <w:rFonts w:hint="default"/>
                <w:lang w:val="pt-BR"/>
              </w:rPr>
            </w:pPr>
            <w:r>
              <w:rPr>
                <w:rFonts w:hint="default"/>
                <w:lang w:val="pt-BR"/>
              </w:rPr>
              <w:t>Níveis de Desagregação</w:t>
            </w:r>
          </w:p>
        </w:tc>
        <w:tc>
          <w:tcPr>
            <w:tcW w:w="6525" w:type="dxa"/>
            <w:tcBorders>
              <w:top w:val="nil"/>
              <w:left w:val="outset" w:color="auto" w:sz="6" w:space="0"/>
              <w:bottom w:val="outset" w:color="auto" w:sz="6" w:space="0"/>
              <w:right w:val="outset" w:color="auto" w:sz="6" w:space="0"/>
            </w:tcBorders>
          </w:tcPr>
          <w:p w14:paraId="06CE45C4">
            <w:pPr>
              <w:spacing w:after="160" w:line="259" w:lineRule="auto"/>
              <w:jc w:val="center"/>
              <w:rPr>
                <w:rFonts w:hint="default"/>
                <w:lang w:val="pt-BR"/>
              </w:rPr>
            </w:pPr>
            <w:r>
              <w:rPr>
                <w:rFonts w:hint="default"/>
                <w:lang w:val="pt-BR"/>
              </w:rPr>
              <w:t>Municípios</w:t>
            </w:r>
          </w:p>
        </w:tc>
      </w:tr>
      <w:tr w14:paraId="3BB7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3757718B">
            <w:pPr>
              <w:spacing w:after="160" w:line="259" w:lineRule="auto"/>
              <w:rPr>
                <w:rFonts w:hint="default"/>
                <w:lang w:val="pt-BR"/>
              </w:rPr>
            </w:pPr>
            <w:r>
              <w:rPr>
                <w:rFonts w:hint="default"/>
                <w:lang w:val="pt-BR"/>
              </w:rPr>
              <w:t>Periodicidade de atualização</w:t>
            </w:r>
          </w:p>
        </w:tc>
        <w:tc>
          <w:tcPr>
            <w:tcW w:w="6525" w:type="dxa"/>
            <w:tcBorders>
              <w:top w:val="nil"/>
              <w:left w:val="outset" w:color="auto" w:sz="6" w:space="0"/>
              <w:bottom w:val="outset" w:color="auto" w:sz="6" w:space="0"/>
              <w:right w:val="outset" w:color="auto" w:sz="6" w:space="0"/>
            </w:tcBorders>
          </w:tcPr>
          <w:p w14:paraId="0E23820E">
            <w:pPr>
              <w:spacing w:after="160" w:line="259" w:lineRule="auto"/>
              <w:jc w:val="center"/>
              <w:rPr>
                <w:rFonts w:hint="default"/>
                <w:lang w:val="pt-BR"/>
              </w:rPr>
            </w:pPr>
            <w:r>
              <w:rPr>
                <w:rFonts w:hint="default"/>
                <w:lang w:val="pt-BR"/>
              </w:rPr>
              <w:t>Indeterminada</w:t>
            </w:r>
          </w:p>
        </w:tc>
      </w:tr>
      <w:tr w14:paraId="0280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3221FEB9">
            <w:pPr>
              <w:spacing w:after="160" w:line="259" w:lineRule="auto"/>
              <w:rPr>
                <w:rFonts w:hint="default"/>
                <w:lang w:val="pt-BR"/>
              </w:rPr>
            </w:pPr>
            <w:r>
              <w:rPr>
                <w:rFonts w:hint="default"/>
                <w:lang w:val="pt-BR"/>
              </w:rPr>
              <w:t>Desvantagens</w:t>
            </w:r>
          </w:p>
        </w:tc>
        <w:tc>
          <w:tcPr>
            <w:tcW w:w="6525" w:type="dxa"/>
            <w:tcBorders>
              <w:top w:val="nil"/>
              <w:left w:val="outset" w:color="auto" w:sz="6" w:space="0"/>
              <w:bottom w:val="outset" w:color="auto" w:sz="6" w:space="0"/>
              <w:right w:val="outset" w:color="auto" w:sz="6" w:space="0"/>
            </w:tcBorders>
          </w:tcPr>
          <w:p w14:paraId="2204D89C">
            <w:pPr>
              <w:spacing w:after="160" w:line="259" w:lineRule="auto"/>
              <w:rPr>
                <w:rFonts w:hint="default"/>
                <w:lang w:val="pt-BR"/>
              </w:rPr>
            </w:pPr>
            <w:r>
              <w:rPr>
                <w:rFonts w:hint="default"/>
                <w:lang w:val="pt-BR"/>
              </w:rPr>
              <w:t>Não permite verificar se os valores do PSNP estão sendo efetivamente pagos</w:t>
            </w:r>
          </w:p>
        </w:tc>
      </w:tr>
      <w:tr w14:paraId="0B14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07AF33F7">
            <w:pPr>
              <w:spacing w:after="160" w:line="259" w:lineRule="auto"/>
              <w:rPr>
                <w:rFonts w:hint="default"/>
                <w:lang w:val="pt-BR"/>
              </w:rPr>
            </w:pPr>
            <w:r>
              <w:rPr>
                <w:rFonts w:hint="default"/>
                <w:lang w:val="pt-BR"/>
              </w:rPr>
              <w:t>Vantagens</w:t>
            </w:r>
          </w:p>
        </w:tc>
        <w:tc>
          <w:tcPr>
            <w:tcW w:w="6525" w:type="dxa"/>
            <w:tcBorders>
              <w:top w:val="nil"/>
              <w:left w:val="outset" w:color="auto" w:sz="6" w:space="0"/>
              <w:bottom w:val="outset" w:color="auto" w:sz="6" w:space="0"/>
              <w:right w:val="outset" w:color="auto" w:sz="6" w:space="0"/>
            </w:tcBorders>
          </w:tcPr>
          <w:p w14:paraId="1DCFB927">
            <w:pPr>
              <w:spacing w:after="160" w:line="259" w:lineRule="auto"/>
              <w:rPr>
                <w:rFonts w:hint="default"/>
                <w:lang w:val="pt-BR"/>
              </w:rPr>
            </w:pPr>
            <w:r>
              <w:rPr>
                <w:rFonts w:hint="default"/>
                <w:lang w:val="pt-BR"/>
              </w:rPr>
              <w:t>Proporciona acompanhar a existência de Lei Municipal</w:t>
            </w:r>
          </w:p>
        </w:tc>
      </w:tr>
      <w:tr w14:paraId="3841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7CE2F50F">
            <w:pPr>
              <w:spacing w:after="160" w:line="259" w:lineRule="auto"/>
            </w:pPr>
            <w:r>
              <w:t>Comentário</w:t>
            </w:r>
          </w:p>
        </w:tc>
        <w:tc>
          <w:tcPr>
            <w:tcW w:w="6525" w:type="dxa"/>
            <w:tcBorders>
              <w:top w:val="nil"/>
              <w:left w:val="outset" w:color="auto" w:sz="6" w:space="0"/>
              <w:bottom w:val="outset" w:color="auto" w:sz="6" w:space="0"/>
              <w:right w:val="outset" w:color="auto" w:sz="6" w:space="0"/>
            </w:tcBorders>
          </w:tcPr>
          <w:p w14:paraId="17ED57B9">
            <w:pPr>
              <w:spacing w:after="160" w:line="259" w:lineRule="auto"/>
              <w:jc w:val="both"/>
            </w:pPr>
            <w:r>
              <w:t>Calculado conforme Relatório do 3º Ciclo de Monitoramento das Metas do Plano Nacional de Educação - 2020 (INEP). Fonte: Pesquisa de Informações Básicas Municipais/IBGE 2014 -2018. Os dados são provenientes da MUNIC, cujo Suplemento Educação ocorre em periodicidade irregular e por solicitação do MEC. As MUNICS de 2019 e 2020</w:t>
            </w:r>
            <w:r>
              <w:rPr>
                <w:rFonts w:hint="default"/>
                <w:lang w:val="pt-BR"/>
              </w:rPr>
              <w:t>,2021,2022 e 2023</w:t>
            </w:r>
            <w:r>
              <w:t xml:space="preserve"> não possuíam esse suplemento, logo não há o que ser divulgado e atualizado para os municípios até a presente data.</w:t>
            </w:r>
          </w:p>
        </w:tc>
      </w:tr>
    </w:tbl>
    <w:p w14:paraId="4D40260D">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1455"/>
        <w:gridCol w:w="9859"/>
      </w:tblGrid>
      <w:tr w14:paraId="6398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9" w:type="dxa"/>
            <w:gridSpan w:val="3"/>
          </w:tcPr>
          <w:p w14:paraId="7D02E3AE">
            <w:pPr>
              <w:jc w:val="center"/>
              <w:rPr>
                <w:rFonts w:hint="default"/>
                <w:b/>
                <w:bCs/>
                <w:vertAlign w:val="baseline"/>
                <w:lang w:val="pt-BR"/>
              </w:rPr>
            </w:pPr>
            <w:r>
              <w:rPr>
                <w:rFonts w:hint="default"/>
                <w:b/>
                <w:bCs/>
                <w:vertAlign w:val="baseline"/>
                <w:lang w:val="pt-BR"/>
              </w:rPr>
              <w:t>Dados/Indicadores:Indicador 18G</w:t>
            </w:r>
          </w:p>
        </w:tc>
      </w:tr>
      <w:tr w14:paraId="25C6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9859" w:type="dxa"/>
        </w:trPr>
        <w:tc>
          <w:tcPr>
            <w:tcW w:w="1815" w:type="dxa"/>
            <w:tcBorders>
              <w:top w:val="outset" w:color="auto" w:sz="6" w:space="0"/>
              <w:left w:val="outset" w:color="auto" w:sz="6" w:space="0"/>
              <w:bottom w:val="outset" w:color="auto" w:sz="6" w:space="0"/>
              <w:right w:val="outset" w:color="auto" w:sz="6" w:space="0"/>
            </w:tcBorders>
          </w:tcPr>
          <w:p w14:paraId="73461C27">
            <w:pPr>
              <w:spacing w:after="160" w:line="259" w:lineRule="auto"/>
              <w:rPr>
                <w:rFonts w:hint="default"/>
                <w:lang w:val="pt-BR"/>
              </w:rPr>
            </w:pPr>
            <w:r>
              <w:rPr>
                <w:rFonts w:hint="default"/>
                <w:lang w:val="pt-BR"/>
              </w:rPr>
              <w:t>Ano</w:t>
            </w:r>
          </w:p>
        </w:tc>
        <w:tc>
          <w:tcPr>
            <w:tcW w:w="1455" w:type="dxa"/>
            <w:tcBorders>
              <w:top w:val="outset" w:color="auto" w:sz="6" w:space="0"/>
              <w:left w:val="outset" w:color="auto" w:sz="6" w:space="0"/>
              <w:bottom w:val="outset" w:color="auto" w:sz="6" w:space="0"/>
              <w:right w:val="outset" w:color="auto" w:sz="6" w:space="0"/>
            </w:tcBorders>
          </w:tcPr>
          <w:p w14:paraId="6237C917">
            <w:pPr>
              <w:spacing w:after="160" w:line="259" w:lineRule="auto"/>
            </w:pPr>
            <w:r>
              <w:t>2018</w:t>
            </w:r>
          </w:p>
        </w:tc>
      </w:tr>
      <w:tr w14:paraId="1465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9859" w:type="dxa"/>
        </w:trPr>
        <w:tc>
          <w:tcPr>
            <w:tcW w:w="1815" w:type="dxa"/>
            <w:tcBorders>
              <w:top w:val="nil"/>
              <w:left w:val="outset" w:color="auto" w:sz="6" w:space="0"/>
              <w:bottom w:val="outset" w:color="auto" w:sz="6" w:space="0"/>
              <w:right w:val="outset" w:color="auto" w:sz="6" w:space="0"/>
            </w:tcBorders>
          </w:tcPr>
          <w:p w14:paraId="45D12D46">
            <w:pPr>
              <w:spacing w:after="160" w:line="259" w:lineRule="auto"/>
              <w:rPr>
                <w:b/>
              </w:rPr>
            </w:pPr>
            <w:r>
              <w:rPr>
                <w:b/>
              </w:rPr>
              <w:t>I</w:t>
            </w:r>
            <w:r>
              <w:rPr>
                <w:b w:val="0"/>
                <w:bCs/>
              </w:rPr>
              <w:t xml:space="preserve">ndicador </w:t>
            </w:r>
          </w:p>
        </w:tc>
        <w:tc>
          <w:tcPr>
            <w:tcW w:w="1455" w:type="dxa"/>
            <w:tcBorders>
              <w:top w:val="nil"/>
              <w:left w:val="outset" w:color="auto" w:sz="6" w:space="0"/>
              <w:bottom w:val="outset" w:color="auto" w:sz="6" w:space="0"/>
              <w:right w:val="outset" w:color="auto" w:sz="6" w:space="0"/>
            </w:tcBorders>
          </w:tcPr>
          <w:p w14:paraId="653D6B40">
            <w:pPr>
              <w:spacing w:after="160" w:line="259" w:lineRule="auto"/>
            </w:pPr>
            <w:r>
              <w:t>Sim</w:t>
            </w:r>
          </w:p>
        </w:tc>
      </w:tr>
      <w:tr w14:paraId="116D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9" w:type="dxa"/>
            <w:gridSpan w:val="3"/>
          </w:tcPr>
          <w:p w14:paraId="44D85C8A">
            <w:pPr>
              <w:jc w:val="center"/>
              <w:rPr>
                <w:rFonts w:hint="default"/>
                <w:vertAlign w:val="baseline"/>
                <w:lang w:val="pt-BR"/>
              </w:rPr>
            </w:pPr>
            <w:r>
              <w:rPr>
                <w:rFonts w:hint="default"/>
                <w:vertAlign w:val="baseline"/>
                <w:lang w:val="pt-BR"/>
              </w:rPr>
              <w:t>Fonte: IBGE - MUNIC</w:t>
            </w:r>
          </w:p>
        </w:tc>
      </w:tr>
    </w:tbl>
    <w:p w14:paraId="0381E8C1"/>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4"/>
        <w:gridCol w:w="7"/>
        <w:gridCol w:w="6525"/>
        <w:gridCol w:w="89"/>
      </w:tblGrid>
      <w:tr w14:paraId="4891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0A89FEF1">
            <w:pPr>
              <w:jc w:val="center"/>
              <w:rPr>
                <w:rFonts w:hint="default"/>
                <w:b/>
                <w:bCs/>
                <w:vertAlign w:val="baseline"/>
                <w:lang w:val="pt-BR"/>
              </w:rPr>
            </w:pPr>
            <w:r>
              <w:rPr>
                <w:rFonts w:hint="default"/>
                <w:b/>
                <w:bCs/>
                <w:vertAlign w:val="baseline"/>
                <w:lang w:val="pt-BR"/>
              </w:rPr>
              <w:t>Ficha metodológica para o indicador 18H - base PNE</w:t>
            </w:r>
          </w:p>
        </w:tc>
      </w:tr>
      <w:tr w14:paraId="7370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outset" w:color="auto" w:sz="6" w:space="0"/>
              <w:left w:val="outset" w:color="auto" w:sz="6" w:space="0"/>
              <w:bottom w:val="outset" w:color="auto" w:sz="6" w:space="0"/>
              <w:right w:val="outset" w:color="auto" w:sz="6" w:space="0"/>
            </w:tcBorders>
          </w:tcPr>
          <w:p w14:paraId="6BEEA56E">
            <w:pPr>
              <w:spacing w:after="160" w:line="259" w:lineRule="auto"/>
              <w:rPr>
                <w:b/>
              </w:rPr>
            </w:pPr>
            <w:r>
              <w:rPr>
                <w:b/>
              </w:rPr>
              <w:t>Meta</w:t>
            </w:r>
          </w:p>
        </w:tc>
        <w:tc>
          <w:tcPr>
            <w:tcW w:w="6532" w:type="dxa"/>
            <w:gridSpan w:val="2"/>
            <w:tcBorders>
              <w:top w:val="outset" w:color="auto" w:sz="6" w:space="0"/>
              <w:left w:val="outset" w:color="auto" w:sz="6" w:space="0"/>
              <w:bottom w:val="outset" w:color="auto" w:sz="6" w:space="0"/>
              <w:right w:val="outset" w:color="auto" w:sz="6" w:space="0"/>
            </w:tcBorders>
          </w:tcPr>
          <w:p w14:paraId="1826F555">
            <w:pPr>
              <w:spacing w:after="160" w:line="259" w:lineRule="auto"/>
              <w:rPr>
                <w:b/>
              </w:rPr>
            </w:pPr>
            <w:r>
              <w:rPr>
                <w:b/>
              </w:rPr>
              <w:t>Texto da meta</w:t>
            </w:r>
          </w:p>
        </w:tc>
      </w:tr>
      <w:tr w14:paraId="006E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4" w:type="dxa"/>
            <w:tcBorders>
              <w:top w:val="nil"/>
              <w:left w:val="outset" w:color="auto" w:sz="6" w:space="0"/>
              <w:bottom w:val="outset" w:color="auto" w:sz="6" w:space="0"/>
              <w:right w:val="outset" w:color="auto" w:sz="6" w:space="0"/>
            </w:tcBorders>
          </w:tcPr>
          <w:p w14:paraId="67B003E4">
            <w:pPr>
              <w:spacing w:after="160" w:line="259" w:lineRule="auto"/>
            </w:pPr>
            <w:r>
              <w:t>18</w:t>
            </w:r>
          </w:p>
          <w:p w14:paraId="76725259">
            <w:pPr>
              <w:spacing w:after="160" w:line="259" w:lineRule="auto"/>
            </w:pPr>
          </w:p>
        </w:tc>
        <w:tc>
          <w:tcPr>
            <w:tcW w:w="6532" w:type="dxa"/>
            <w:gridSpan w:val="2"/>
            <w:tcBorders>
              <w:top w:val="nil"/>
              <w:left w:val="outset" w:color="auto" w:sz="6" w:space="0"/>
              <w:bottom w:val="outset" w:color="auto" w:sz="6" w:space="0"/>
              <w:right w:val="outset" w:color="auto" w:sz="6" w:space="0"/>
            </w:tcBorders>
          </w:tcPr>
          <w:p w14:paraId="4279E3E9">
            <w:pPr>
              <w:spacing w:after="160" w:line="259" w:lineRule="auto"/>
              <w:jc w:val="both"/>
              <w:rPr>
                <w:i/>
              </w:rPr>
            </w:pPr>
            <w:r>
              <w:rPr>
                <w:bCs/>
              </w:rPr>
              <w:t>Assegurar, a atualização e implantação do plano de carreira para os profissionais da Educação Básica pública do município e tomar como referência o Piso Salarial Nacional Profissional, definido em lei federal, nos termos do inciso VIII do art. 206 Constituição Federal.</w:t>
            </w:r>
          </w:p>
        </w:tc>
      </w:tr>
      <w:tr w14:paraId="48F5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outset" w:color="auto" w:sz="6" w:space="0"/>
              <w:left w:val="outset" w:color="auto" w:sz="6" w:space="0"/>
              <w:bottom w:val="outset" w:color="auto" w:sz="6" w:space="0"/>
              <w:right w:val="outset" w:color="auto" w:sz="6" w:space="0"/>
            </w:tcBorders>
          </w:tcPr>
          <w:p w14:paraId="65C6DA50">
            <w:pPr>
              <w:spacing w:after="160" w:line="259" w:lineRule="auto"/>
              <w:jc w:val="both"/>
              <w:rPr>
                <w:rFonts w:hint="default"/>
                <w:lang w:val="pt-BR"/>
              </w:rPr>
            </w:pPr>
            <w:r>
              <w:t xml:space="preserve">Indicador </w:t>
            </w:r>
            <w:r>
              <w:rPr>
                <w:rFonts w:hint="default"/>
                <w:lang w:val="pt-BR"/>
              </w:rPr>
              <w:t>18H Nacional</w:t>
            </w:r>
          </w:p>
        </w:tc>
        <w:tc>
          <w:tcPr>
            <w:tcW w:w="6525" w:type="dxa"/>
            <w:tcBorders>
              <w:top w:val="outset" w:color="auto" w:sz="6" w:space="0"/>
              <w:left w:val="outset" w:color="auto" w:sz="6" w:space="0"/>
              <w:bottom w:val="outset" w:color="auto" w:sz="6" w:space="0"/>
              <w:right w:val="outset" w:color="auto" w:sz="6" w:space="0"/>
            </w:tcBorders>
          </w:tcPr>
          <w:p w14:paraId="68209F2D">
            <w:pPr>
              <w:spacing w:after="160" w:line="259" w:lineRule="auto"/>
              <w:jc w:val="both"/>
              <w:rPr>
                <w:rFonts w:hint="default"/>
                <w:lang w:val="pt-BR"/>
              </w:rPr>
            </w:pPr>
            <w:r>
              <w:t xml:space="preserve">Percentual de municípios que </w:t>
            </w:r>
            <w:r>
              <w:rPr>
                <w:rFonts w:hint="default"/>
                <w:lang w:val="pt-BR"/>
              </w:rPr>
              <w:t>possuem PCR dos profissionais da educação que não integram o magistério.</w:t>
            </w:r>
          </w:p>
        </w:tc>
      </w:tr>
      <w:tr w14:paraId="1F57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outset" w:color="auto" w:sz="6" w:space="0"/>
              <w:left w:val="outset" w:color="auto" w:sz="6" w:space="0"/>
              <w:bottom w:val="outset" w:color="auto" w:sz="6" w:space="0"/>
              <w:right w:val="outset" w:color="auto" w:sz="6" w:space="0"/>
            </w:tcBorders>
          </w:tcPr>
          <w:p w14:paraId="3EC45491">
            <w:pPr>
              <w:spacing w:after="160" w:line="259" w:lineRule="auto"/>
              <w:rPr>
                <w:rFonts w:hint="default"/>
                <w:lang w:val="pt-BR"/>
              </w:rPr>
            </w:pPr>
            <w:r>
              <w:rPr>
                <w:rFonts w:hint="default"/>
                <w:lang w:val="pt-BR"/>
              </w:rPr>
              <w:t>Indicador 18H Proposto</w:t>
            </w:r>
          </w:p>
        </w:tc>
        <w:tc>
          <w:tcPr>
            <w:tcW w:w="6525" w:type="dxa"/>
            <w:tcBorders>
              <w:top w:val="outset" w:color="auto" w:sz="6" w:space="0"/>
              <w:left w:val="outset" w:color="auto" w:sz="6" w:space="0"/>
              <w:bottom w:val="outset" w:color="auto" w:sz="6" w:space="0"/>
              <w:right w:val="outset" w:color="auto" w:sz="6" w:space="0"/>
            </w:tcBorders>
          </w:tcPr>
          <w:p w14:paraId="18701F28">
            <w:pPr>
              <w:spacing w:after="160" w:line="259" w:lineRule="auto"/>
              <w:rPr>
                <w:rFonts w:hint="default"/>
                <w:lang w:val="pt-BR"/>
              </w:rPr>
            </w:pPr>
            <w:r>
              <w:rPr>
                <w:rFonts w:hint="default"/>
                <w:lang w:val="pt-BR"/>
              </w:rPr>
              <w:t>Municipios com PCR dos profissionais da educação que não integram o magistério.</w:t>
            </w:r>
          </w:p>
        </w:tc>
      </w:tr>
      <w:tr w14:paraId="4C11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outset" w:color="auto" w:sz="6" w:space="0"/>
              <w:left w:val="outset" w:color="auto" w:sz="6" w:space="0"/>
              <w:bottom w:val="outset" w:color="auto" w:sz="6" w:space="0"/>
              <w:right w:val="outset" w:color="auto" w:sz="6" w:space="0"/>
            </w:tcBorders>
          </w:tcPr>
          <w:p w14:paraId="051CCF02">
            <w:pPr>
              <w:spacing w:after="160" w:line="259" w:lineRule="auto"/>
              <w:rPr>
                <w:rFonts w:hint="default"/>
                <w:lang w:val="pt-BR"/>
              </w:rPr>
            </w:pPr>
            <w:r>
              <w:rPr>
                <w:rFonts w:hint="default"/>
                <w:lang w:val="pt-BR"/>
              </w:rPr>
              <w:t>Conceitos e definições</w:t>
            </w:r>
          </w:p>
        </w:tc>
        <w:tc>
          <w:tcPr>
            <w:tcW w:w="6525" w:type="dxa"/>
            <w:tcBorders>
              <w:top w:val="outset" w:color="auto" w:sz="6" w:space="0"/>
              <w:left w:val="outset" w:color="auto" w:sz="6" w:space="0"/>
              <w:bottom w:val="outset" w:color="auto" w:sz="6" w:space="0"/>
              <w:right w:val="outset" w:color="auto" w:sz="6" w:space="0"/>
            </w:tcBorders>
          </w:tcPr>
          <w:p w14:paraId="07103A8B">
            <w:pPr>
              <w:spacing w:after="160" w:line="259" w:lineRule="auto"/>
              <w:rPr>
                <w:rFonts w:hint="default"/>
                <w:lang w:val="pt-BR"/>
              </w:rPr>
            </w:pPr>
            <w:r>
              <w:rPr>
                <w:rFonts w:hint="default"/>
                <w:lang w:val="pt-BR"/>
              </w:rPr>
              <w:t>Verificar existência de Plano de Carreira vigente para os profissionais da educação não docentes</w:t>
            </w:r>
          </w:p>
        </w:tc>
      </w:tr>
      <w:tr w14:paraId="59A7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3A23CA1F">
            <w:pPr>
              <w:spacing w:after="160" w:line="259" w:lineRule="auto"/>
            </w:pPr>
            <w:r>
              <w:t>Fórmula de cálculo</w:t>
            </w:r>
          </w:p>
        </w:tc>
        <w:tc>
          <w:tcPr>
            <w:tcW w:w="6525" w:type="dxa"/>
            <w:tcBorders>
              <w:top w:val="nil"/>
              <w:left w:val="outset" w:color="auto" w:sz="6" w:space="0"/>
              <w:bottom w:val="outset" w:color="auto" w:sz="6" w:space="0"/>
              <w:right w:val="outset" w:color="auto" w:sz="6" w:space="0"/>
            </w:tcBorders>
          </w:tcPr>
          <w:p w14:paraId="2FB87780">
            <w:pPr>
              <w:spacing w:after="160" w:line="259" w:lineRule="auto"/>
              <w:rPr>
                <w:rFonts w:hint="default"/>
                <w:lang w:val="pt-BR"/>
              </w:rPr>
            </w:pPr>
            <w:r>
              <w:rPr>
                <w:rFonts w:hint="default"/>
                <w:lang w:val="pt-BR"/>
              </w:rPr>
              <w:t>Não se aplica</w:t>
            </w:r>
          </w:p>
        </w:tc>
      </w:tr>
      <w:tr w14:paraId="17B0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64E9FE56">
            <w:pPr>
              <w:spacing w:after="160" w:line="259" w:lineRule="auto"/>
              <w:rPr>
                <w:rFonts w:hint="default"/>
                <w:lang w:val="pt-BR"/>
              </w:rPr>
            </w:pPr>
            <w:r>
              <w:rPr>
                <w:rFonts w:hint="default"/>
                <w:lang w:val="pt-BR"/>
              </w:rPr>
              <w:t>Unidade de medida</w:t>
            </w:r>
          </w:p>
        </w:tc>
        <w:tc>
          <w:tcPr>
            <w:tcW w:w="6525" w:type="dxa"/>
            <w:tcBorders>
              <w:top w:val="nil"/>
              <w:left w:val="outset" w:color="auto" w:sz="6" w:space="0"/>
              <w:bottom w:val="outset" w:color="auto" w:sz="6" w:space="0"/>
              <w:right w:val="outset" w:color="auto" w:sz="6" w:space="0"/>
            </w:tcBorders>
          </w:tcPr>
          <w:p w14:paraId="5F79AC3D">
            <w:pPr>
              <w:spacing w:after="160" w:line="259" w:lineRule="auto"/>
              <w:rPr>
                <w:rFonts w:hint="default"/>
                <w:lang w:val="pt-BR"/>
              </w:rPr>
            </w:pPr>
            <w:r>
              <w:rPr>
                <w:rFonts w:hint="default"/>
                <w:lang w:val="pt-BR"/>
              </w:rPr>
              <w:t xml:space="preserve">Dicotômica (sim ou não) acerca da existência da Lei no município. </w:t>
            </w:r>
          </w:p>
        </w:tc>
      </w:tr>
      <w:tr w14:paraId="54F2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118C0B0F">
            <w:pPr>
              <w:spacing w:after="160" w:line="259" w:lineRule="auto"/>
              <w:jc w:val="both"/>
              <w:rPr>
                <w:rFonts w:hint="default"/>
                <w:lang w:val="pt-BR"/>
              </w:rPr>
            </w:pPr>
            <w:r>
              <w:rPr>
                <w:rFonts w:hint="default"/>
                <w:lang w:val="pt-BR"/>
              </w:rPr>
              <w:t>Variáveis que compõem o indicador, suas respectivas fontes e instituições produtoras.</w:t>
            </w:r>
          </w:p>
        </w:tc>
        <w:tc>
          <w:tcPr>
            <w:tcW w:w="6525" w:type="dxa"/>
            <w:tcBorders>
              <w:top w:val="nil"/>
              <w:left w:val="outset" w:color="auto" w:sz="6" w:space="0"/>
              <w:bottom w:val="outset" w:color="auto" w:sz="6" w:space="0"/>
              <w:right w:val="outset" w:color="auto" w:sz="6" w:space="0"/>
            </w:tcBorders>
          </w:tcPr>
          <w:p w14:paraId="0F36D6CF">
            <w:pPr>
              <w:spacing w:after="160" w:line="259" w:lineRule="auto"/>
              <w:jc w:val="both"/>
              <w:rPr>
                <w:rFonts w:hint="default"/>
                <w:vertAlign w:val="baseline"/>
                <w:lang w:val="pt-BR"/>
              </w:rPr>
            </w:pPr>
            <w:r>
              <w:rPr>
                <w:rFonts w:hint="default"/>
                <w:lang w:val="pt-BR"/>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2162"/>
              <w:gridCol w:w="2162"/>
            </w:tblGrid>
            <w:tr w14:paraId="75FC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723B2333">
                  <w:pPr>
                    <w:spacing w:after="160" w:line="259" w:lineRule="auto"/>
                    <w:jc w:val="center"/>
                    <w:rPr>
                      <w:rFonts w:hint="default"/>
                      <w:vertAlign w:val="baseline"/>
                      <w:lang w:val="pt-BR"/>
                    </w:rPr>
                  </w:pPr>
                  <w:r>
                    <w:rPr>
                      <w:rFonts w:hint="default"/>
                      <w:vertAlign w:val="baseline"/>
                      <w:lang w:val="pt-BR"/>
                    </w:rPr>
                    <w:t>Variáveis</w:t>
                  </w:r>
                </w:p>
              </w:tc>
              <w:tc>
                <w:tcPr>
                  <w:tcW w:w="2165" w:type="dxa"/>
                </w:tcPr>
                <w:p w14:paraId="15C5563E">
                  <w:pPr>
                    <w:spacing w:after="160" w:line="259" w:lineRule="auto"/>
                    <w:jc w:val="center"/>
                    <w:rPr>
                      <w:rFonts w:hint="default"/>
                      <w:vertAlign w:val="baseline"/>
                      <w:lang w:val="pt-BR"/>
                    </w:rPr>
                  </w:pPr>
                  <w:r>
                    <w:rPr>
                      <w:rFonts w:hint="default"/>
                      <w:vertAlign w:val="baseline"/>
                      <w:lang w:val="pt-BR"/>
                    </w:rPr>
                    <w:t>Fontes</w:t>
                  </w:r>
                </w:p>
              </w:tc>
              <w:tc>
                <w:tcPr>
                  <w:tcW w:w="2165" w:type="dxa"/>
                </w:tcPr>
                <w:p w14:paraId="2010BD8B">
                  <w:pPr>
                    <w:spacing w:after="160" w:line="259" w:lineRule="auto"/>
                    <w:jc w:val="center"/>
                    <w:rPr>
                      <w:rFonts w:hint="default"/>
                      <w:vertAlign w:val="baseline"/>
                      <w:lang w:val="pt-BR"/>
                    </w:rPr>
                  </w:pPr>
                  <w:r>
                    <w:rPr>
                      <w:rFonts w:hint="default"/>
                      <w:vertAlign w:val="baseline"/>
                      <w:lang w:val="pt-BR"/>
                    </w:rPr>
                    <w:t>Instituições</w:t>
                  </w:r>
                </w:p>
              </w:tc>
            </w:tr>
            <w:tr w14:paraId="4B94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344AD243">
                  <w:pPr>
                    <w:spacing w:after="160" w:line="259" w:lineRule="auto"/>
                    <w:jc w:val="both"/>
                    <w:rPr>
                      <w:rFonts w:hint="default"/>
                      <w:vertAlign w:val="baseline"/>
                      <w:lang w:val="pt-BR"/>
                    </w:rPr>
                  </w:pPr>
                  <w:r>
                    <w:rPr>
                      <w:rFonts w:hint="default"/>
                      <w:vertAlign w:val="baseline"/>
                      <w:lang w:val="pt-BR"/>
                    </w:rPr>
                    <w:t>MEDU 21</w:t>
                  </w:r>
                </w:p>
              </w:tc>
              <w:tc>
                <w:tcPr>
                  <w:tcW w:w="2165" w:type="dxa"/>
                </w:tcPr>
                <w:p w14:paraId="313F99FE">
                  <w:pPr>
                    <w:spacing w:after="160" w:line="259" w:lineRule="auto"/>
                    <w:jc w:val="center"/>
                    <w:rPr>
                      <w:rFonts w:hint="default"/>
                      <w:vertAlign w:val="baseline"/>
                      <w:lang w:val="pt-BR"/>
                    </w:rPr>
                  </w:pPr>
                  <w:r>
                    <w:rPr>
                      <w:rFonts w:hint="default"/>
                      <w:vertAlign w:val="baseline"/>
                      <w:lang w:val="pt-BR"/>
                    </w:rPr>
                    <w:t>MUNIC - Pesquisa de informações Básicas Municipais</w:t>
                  </w:r>
                </w:p>
              </w:tc>
              <w:tc>
                <w:tcPr>
                  <w:tcW w:w="2165" w:type="dxa"/>
                </w:tcPr>
                <w:p w14:paraId="3440A755">
                  <w:pPr>
                    <w:spacing w:after="160" w:line="259" w:lineRule="auto"/>
                    <w:jc w:val="center"/>
                    <w:rPr>
                      <w:rFonts w:hint="default"/>
                      <w:vertAlign w:val="baseline"/>
                      <w:lang w:val="pt-BR"/>
                    </w:rPr>
                  </w:pPr>
                  <w:r>
                    <w:rPr>
                      <w:rFonts w:hint="default"/>
                      <w:vertAlign w:val="baseline"/>
                      <w:lang w:val="pt-BR"/>
                    </w:rPr>
                    <w:t>IBGE</w:t>
                  </w:r>
                </w:p>
              </w:tc>
            </w:tr>
          </w:tbl>
          <w:p w14:paraId="6061B19D">
            <w:pPr>
              <w:spacing w:after="160" w:line="259" w:lineRule="auto"/>
              <w:jc w:val="both"/>
              <w:rPr>
                <w:rFonts w:hint="default"/>
                <w:lang w:val="pt-BR"/>
              </w:rPr>
            </w:pPr>
          </w:p>
        </w:tc>
      </w:tr>
      <w:tr w14:paraId="6FD9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70377880">
            <w:pPr>
              <w:spacing w:after="160" w:line="259" w:lineRule="auto"/>
              <w:rPr>
                <w:rFonts w:hint="default"/>
                <w:lang w:val="pt-BR"/>
              </w:rPr>
            </w:pPr>
            <w:r>
              <w:rPr>
                <w:rFonts w:hint="default"/>
                <w:lang w:val="pt-BR"/>
              </w:rPr>
              <w:t>Níveis de Desagregação</w:t>
            </w:r>
          </w:p>
        </w:tc>
        <w:tc>
          <w:tcPr>
            <w:tcW w:w="6525" w:type="dxa"/>
            <w:tcBorders>
              <w:top w:val="nil"/>
              <w:left w:val="outset" w:color="auto" w:sz="6" w:space="0"/>
              <w:bottom w:val="outset" w:color="auto" w:sz="6" w:space="0"/>
              <w:right w:val="outset" w:color="auto" w:sz="6" w:space="0"/>
            </w:tcBorders>
          </w:tcPr>
          <w:p w14:paraId="14FFC234">
            <w:pPr>
              <w:spacing w:after="160" w:line="259" w:lineRule="auto"/>
              <w:jc w:val="center"/>
              <w:rPr>
                <w:rFonts w:hint="default"/>
                <w:lang w:val="pt-BR"/>
              </w:rPr>
            </w:pPr>
            <w:r>
              <w:rPr>
                <w:rFonts w:hint="default"/>
                <w:lang w:val="pt-BR"/>
              </w:rPr>
              <w:t>Municípios</w:t>
            </w:r>
          </w:p>
        </w:tc>
      </w:tr>
      <w:tr w14:paraId="1C68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2E3A1D30">
            <w:pPr>
              <w:spacing w:after="160" w:line="259" w:lineRule="auto"/>
              <w:rPr>
                <w:rFonts w:hint="default"/>
                <w:lang w:val="pt-BR"/>
              </w:rPr>
            </w:pPr>
            <w:r>
              <w:rPr>
                <w:rFonts w:hint="default"/>
                <w:lang w:val="pt-BR"/>
              </w:rPr>
              <w:t>Periodicidade de atualização</w:t>
            </w:r>
          </w:p>
        </w:tc>
        <w:tc>
          <w:tcPr>
            <w:tcW w:w="6525" w:type="dxa"/>
            <w:tcBorders>
              <w:top w:val="nil"/>
              <w:left w:val="outset" w:color="auto" w:sz="6" w:space="0"/>
              <w:bottom w:val="outset" w:color="auto" w:sz="6" w:space="0"/>
              <w:right w:val="outset" w:color="auto" w:sz="6" w:space="0"/>
            </w:tcBorders>
          </w:tcPr>
          <w:p w14:paraId="49FEFE85">
            <w:pPr>
              <w:spacing w:after="160" w:line="259" w:lineRule="auto"/>
              <w:jc w:val="center"/>
              <w:rPr>
                <w:rFonts w:hint="default"/>
                <w:lang w:val="pt-BR"/>
              </w:rPr>
            </w:pPr>
            <w:r>
              <w:rPr>
                <w:rFonts w:hint="default"/>
                <w:lang w:val="pt-BR"/>
              </w:rPr>
              <w:t>Indeterminada</w:t>
            </w:r>
          </w:p>
        </w:tc>
      </w:tr>
      <w:tr w14:paraId="37A5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03F3621D">
            <w:pPr>
              <w:spacing w:after="160" w:line="259" w:lineRule="auto"/>
              <w:rPr>
                <w:rFonts w:hint="default"/>
                <w:lang w:val="pt-BR"/>
              </w:rPr>
            </w:pPr>
            <w:r>
              <w:rPr>
                <w:rFonts w:hint="default"/>
                <w:lang w:val="pt-BR"/>
              </w:rPr>
              <w:t>Vantagens</w:t>
            </w:r>
          </w:p>
        </w:tc>
        <w:tc>
          <w:tcPr>
            <w:tcW w:w="6525" w:type="dxa"/>
            <w:tcBorders>
              <w:top w:val="nil"/>
              <w:left w:val="outset" w:color="auto" w:sz="6" w:space="0"/>
              <w:bottom w:val="outset" w:color="auto" w:sz="6" w:space="0"/>
              <w:right w:val="outset" w:color="auto" w:sz="6" w:space="0"/>
            </w:tcBorders>
          </w:tcPr>
          <w:p w14:paraId="22D5F3AF">
            <w:pPr>
              <w:spacing w:after="160" w:line="259" w:lineRule="auto"/>
              <w:rPr>
                <w:rFonts w:hint="default"/>
                <w:lang w:val="pt-BR"/>
              </w:rPr>
            </w:pPr>
            <w:r>
              <w:rPr>
                <w:rFonts w:hint="default"/>
                <w:lang w:val="pt-BR"/>
              </w:rPr>
              <w:t>Proporciona acompanhar a existência de Lei Municipal</w:t>
            </w:r>
          </w:p>
        </w:tc>
      </w:tr>
      <w:tr w14:paraId="7C85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5A6B0924">
            <w:pPr>
              <w:spacing w:after="160" w:line="259" w:lineRule="auto"/>
              <w:rPr>
                <w:rFonts w:hint="default"/>
                <w:lang w:val="pt-BR"/>
              </w:rPr>
            </w:pPr>
            <w:r>
              <w:rPr>
                <w:rFonts w:hint="default"/>
                <w:lang w:val="pt-BR"/>
              </w:rPr>
              <w:t>Comentário</w:t>
            </w:r>
          </w:p>
        </w:tc>
        <w:tc>
          <w:tcPr>
            <w:tcW w:w="6525" w:type="dxa"/>
            <w:tcBorders>
              <w:top w:val="nil"/>
              <w:left w:val="outset" w:color="auto" w:sz="6" w:space="0"/>
              <w:bottom w:val="outset" w:color="auto" w:sz="6" w:space="0"/>
              <w:right w:val="outset" w:color="auto" w:sz="6" w:space="0"/>
            </w:tcBorders>
          </w:tcPr>
          <w:p w14:paraId="4835DA4C">
            <w:pPr>
              <w:spacing w:after="160" w:line="259" w:lineRule="auto"/>
              <w:rPr>
                <w:rFonts w:hint="default"/>
                <w:lang w:val="pt-BR"/>
              </w:rPr>
            </w:pPr>
            <w:r>
              <w:rPr>
                <w:rFonts w:hint="default"/>
                <w:lang w:val="pt-BR"/>
              </w:rPr>
              <w:t>Incluído conforme relatório do 3º Ciclo de Monitoramento das metas do Plano Nacional de Educação - 2020 (INEP)</w:t>
            </w:r>
          </w:p>
        </w:tc>
      </w:tr>
      <w:tr w14:paraId="62E5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11" w:type="dxa"/>
            <w:gridSpan w:val="2"/>
            <w:tcBorders>
              <w:top w:val="nil"/>
              <w:left w:val="outset" w:color="auto" w:sz="6" w:space="0"/>
              <w:bottom w:val="outset" w:color="auto" w:sz="6" w:space="0"/>
              <w:right w:val="outset" w:color="auto" w:sz="6" w:space="0"/>
            </w:tcBorders>
          </w:tcPr>
          <w:p w14:paraId="244267E8">
            <w:pPr>
              <w:spacing w:after="160" w:line="259" w:lineRule="auto"/>
            </w:pPr>
            <w:r>
              <w:t>Comentário</w:t>
            </w:r>
          </w:p>
        </w:tc>
        <w:tc>
          <w:tcPr>
            <w:tcW w:w="6525" w:type="dxa"/>
            <w:tcBorders>
              <w:top w:val="nil"/>
              <w:left w:val="outset" w:color="auto" w:sz="6" w:space="0"/>
              <w:bottom w:val="outset" w:color="auto" w:sz="6" w:space="0"/>
              <w:right w:val="outset" w:color="auto" w:sz="6" w:space="0"/>
            </w:tcBorders>
          </w:tcPr>
          <w:p w14:paraId="5DA2E3C0">
            <w:pPr>
              <w:spacing w:after="160" w:line="259" w:lineRule="auto"/>
              <w:jc w:val="both"/>
            </w:pPr>
            <w:r>
              <w:t>Calculado conforme Relatório do 3º Ciclo de Monitoramento das Metas do Plano Nacional de Educação - 2020 (INEP). Fonte: Pesquisa de Informações Básicas Municipais/IBGE 2014 -2018. Os dados são provenientes da MUNIC, cujo Suplemento Educação ocorre em periodicidade irregular e por solicitação do MEC. As MUNICS de 2019 e 2020</w:t>
            </w:r>
            <w:r>
              <w:rPr>
                <w:rFonts w:hint="default"/>
                <w:lang w:val="pt-BR"/>
              </w:rPr>
              <w:t>,2021,2022 e 2023</w:t>
            </w:r>
            <w:r>
              <w:t xml:space="preserve"> não possuíam esse suplemento.</w:t>
            </w:r>
          </w:p>
        </w:tc>
      </w:tr>
    </w:tbl>
    <w:p w14:paraId="7AE8F090">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727"/>
        <w:gridCol w:w="1277"/>
        <w:gridCol w:w="9977"/>
        <w:gridCol w:w="240"/>
      </w:tblGrid>
      <w:tr w14:paraId="352F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8" w:type="dxa"/>
            <w:gridSpan w:val="4"/>
          </w:tcPr>
          <w:p w14:paraId="0B84F93C">
            <w:pPr>
              <w:jc w:val="center"/>
              <w:rPr>
                <w:rFonts w:hint="default"/>
                <w:b/>
                <w:bCs/>
                <w:vertAlign w:val="baseline"/>
                <w:lang w:val="pt-BR"/>
              </w:rPr>
            </w:pPr>
            <w:r>
              <w:rPr>
                <w:rFonts w:hint="default"/>
                <w:b/>
                <w:bCs/>
                <w:vertAlign w:val="baseline"/>
                <w:lang w:val="pt-BR"/>
              </w:rPr>
              <w:t>Dados/Indicadores:Indicador 18H</w:t>
            </w:r>
          </w:p>
        </w:tc>
        <w:tc>
          <w:tcPr>
            <w:tcW w:w="240" w:type="dxa"/>
          </w:tcPr>
          <w:p w14:paraId="1357B14D">
            <w:pPr>
              <w:jc w:val="center"/>
              <w:rPr>
                <w:rFonts w:hint="default"/>
                <w:b/>
                <w:bCs/>
                <w:vertAlign w:val="baseline"/>
                <w:lang w:val="pt-BR"/>
              </w:rPr>
            </w:pPr>
          </w:p>
        </w:tc>
      </w:tr>
      <w:tr w14:paraId="35C9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10217" w:type="dxa"/>
        </w:trPr>
        <w:tc>
          <w:tcPr>
            <w:tcW w:w="907" w:type="dxa"/>
            <w:tcBorders>
              <w:top w:val="outset" w:color="auto" w:sz="6" w:space="0"/>
              <w:left w:val="outset" w:color="auto" w:sz="6" w:space="0"/>
              <w:bottom w:val="outset" w:color="auto" w:sz="6" w:space="0"/>
              <w:right w:val="outset" w:color="auto" w:sz="6" w:space="0"/>
            </w:tcBorders>
          </w:tcPr>
          <w:p w14:paraId="78301CCE">
            <w:pPr>
              <w:spacing w:after="160" w:line="259" w:lineRule="auto"/>
              <w:rPr>
                <w:rFonts w:hint="default"/>
                <w:lang w:val="pt-BR"/>
              </w:rPr>
            </w:pPr>
            <w:r>
              <w:rPr>
                <w:rFonts w:hint="default"/>
                <w:lang w:val="pt-BR"/>
              </w:rPr>
              <w:t>Ano</w:t>
            </w:r>
          </w:p>
        </w:tc>
        <w:tc>
          <w:tcPr>
            <w:tcW w:w="727" w:type="dxa"/>
            <w:tcBorders>
              <w:top w:val="outset" w:color="auto" w:sz="6" w:space="0"/>
              <w:left w:val="outset" w:color="auto" w:sz="6" w:space="0"/>
              <w:bottom w:val="outset" w:color="auto" w:sz="6" w:space="0"/>
              <w:right w:val="outset" w:color="auto" w:sz="6" w:space="0"/>
            </w:tcBorders>
          </w:tcPr>
          <w:p w14:paraId="73CE01E6">
            <w:pPr>
              <w:spacing w:after="160" w:line="259" w:lineRule="auto"/>
            </w:pPr>
            <w:r>
              <w:t>2018</w:t>
            </w:r>
          </w:p>
        </w:tc>
        <w:tc>
          <w:tcPr>
            <w:tcW w:w="1277" w:type="dxa"/>
            <w:tcBorders>
              <w:top w:val="outset" w:color="auto" w:sz="6" w:space="0"/>
              <w:left w:val="outset" w:color="auto" w:sz="6" w:space="0"/>
              <w:bottom w:val="outset" w:color="auto" w:sz="6" w:space="0"/>
              <w:right w:val="outset" w:color="auto" w:sz="6" w:space="0"/>
            </w:tcBorders>
          </w:tcPr>
          <w:p w14:paraId="1E7DAA43">
            <w:pPr>
              <w:spacing w:after="160" w:line="259" w:lineRule="auto"/>
              <w:rPr>
                <w:rFonts w:hint="default"/>
                <w:lang w:val="pt-BR"/>
              </w:rPr>
            </w:pPr>
            <w:r>
              <w:rPr>
                <w:rFonts w:hint="default"/>
                <w:lang w:val="pt-BR"/>
              </w:rPr>
              <w:t>2021</w:t>
            </w:r>
          </w:p>
        </w:tc>
      </w:tr>
      <w:tr w14:paraId="1F7B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10217" w:type="dxa"/>
        </w:trPr>
        <w:tc>
          <w:tcPr>
            <w:tcW w:w="907" w:type="dxa"/>
            <w:tcBorders>
              <w:top w:val="nil"/>
              <w:left w:val="outset" w:color="auto" w:sz="6" w:space="0"/>
              <w:bottom w:val="outset" w:color="auto" w:sz="6" w:space="0"/>
              <w:right w:val="outset" w:color="auto" w:sz="6" w:space="0"/>
            </w:tcBorders>
          </w:tcPr>
          <w:p w14:paraId="1AD6AC8D">
            <w:pPr>
              <w:spacing w:after="160" w:line="259" w:lineRule="auto"/>
              <w:rPr>
                <w:b/>
              </w:rPr>
            </w:pPr>
            <w:r>
              <w:rPr>
                <w:b/>
              </w:rPr>
              <w:t>I</w:t>
            </w:r>
            <w:r>
              <w:rPr>
                <w:b w:val="0"/>
                <w:bCs/>
              </w:rPr>
              <w:t xml:space="preserve">ndicador </w:t>
            </w:r>
          </w:p>
        </w:tc>
        <w:tc>
          <w:tcPr>
            <w:tcW w:w="727" w:type="dxa"/>
            <w:tcBorders>
              <w:top w:val="nil"/>
              <w:left w:val="outset" w:color="auto" w:sz="6" w:space="0"/>
              <w:bottom w:val="outset" w:color="auto" w:sz="6" w:space="0"/>
              <w:right w:val="outset" w:color="auto" w:sz="6" w:space="0"/>
            </w:tcBorders>
          </w:tcPr>
          <w:p w14:paraId="4AFF45C2">
            <w:pPr>
              <w:spacing w:after="160" w:line="259" w:lineRule="auto"/>
              <w:rPr>
                <w:rFonts w:hint="default"/>
                <w:lang w:val="pt-BR"/>
              </w:rPr>
            </w:pPr>
            <w:r>
              <w:rPr>
                <w:rFonts w:hint="default"/>
                <w:lang w:val="pt-BR"/>
              </w:rPr>
              <w:t xml:space="preserve">Não </w:t>
            </w:r>
          </w:p>
        </w:tc>
        <w:tc>
          <w:tcPr>
            <w:tcW w:w="1277" w:type="dxa"/>
            <w:tcBorders>
              <w:top w:val="nil"/>
              <w:left w:val="outset" w:color="auto" w:sz="6" w:space="0"/>
              <w:bottom w:val="outset" w:color="auto" w:sz="6" w:space="0"/>
              <w:right w:val="outset" w:color="auto" w:sz="6" w:space="0"/>
            </w:tcBorders>
          </w:tcPr>
          <w:p w14:paraId="276947C7">
            <w:pPr>
              <w:spacing w:after="160" w:line="259" w:lineRule="auto"/>
              <w:rPr>
                <w:rFonts w:hint="default"/>
                <w:lang w:val="pt-BR"/>
              </w:rPr>
            </w:pPr>
            <w:r>
              <w:rPr>
                <w:rFonts w:hint="default"/>
                <w:lang w:val="pt-BR"/>
              </w:rPr>
              <w:t>Sim</w:t>
            </w:r>
          </w:p>
        </w:tc>
      </w:tr>
      <w:tr w14:paraId="35C3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8" w:type="dxa"/>
            <w:gridSpan w:val="4"/>
          </w:tcPr>
          <w:p w14:paraId="6DDCC2A2">
            <w:pPr>
              <w:jc w:val="center"/>
              <w:rPr>
                <w:rFonts w:hint="default"/>
                <w:vertAlign w:val="baseline"/>
                <w:lang w:val="pt-BR"/>
              </w:rPr>
            </w:pPr>
            <w:r>
              <w:rPr>
                <w:rFonts w:hint="default"/>
                <w:vertAlign w:val="baseline"/>
                <w:lang w:val="pt-BR"/>
              </w:rPr>
              <w:t>Fonte: IBGE - MUNIC</w:t>
            </w:r>
          </w:p>
        </w:tc>
        <w:tc>
          <w:tcPr>
            <w:tcW w:w="240" w:type="dxa"/>
          </w:tcPr>
          <w:p w14:paraId="33F9321A">
            <w:pPr>
              <w:jc w:val="center"/>
              <w:rPr>
                <w:rFonts w:hint="default"/>
                <w:vertAlign w:val="baseline"/>
                <w:lang w:val="pt-BR"/>
              </w:rPr>
            </w:pPr>
          </w:p>
        </w:tc>
      </w:tr>
    </w:tbl>
    <w:p w14:paraId="6F01EC8C">
      <w:r>
        <w:t xml:space="preserve"> </w:t>
      </w:r>
    </w:p>
    <w:p w14:paraId="2CCDA507">
      <w:r>
        <w:t>No final de 2017 foi reformulado o Plano de Carreira, estando adequado as normas legais.</w:t>
      </w:r>
    </w:p>
    <w:p w14:paraId="32D10F99"/>
    <w:p w14:paraId="0CE63729"/>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3"/>
        <w:gridCol w:w="6"/>
        <w:gridCol w:w="6527"/>
        <w:gridCol w:w="89"/>
      </w:tblGrid>
      <w:tr w14:paraId="0187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293234D7">
            <w:pPr>
              <w:jc w:val="center"/>
              <w:rPr>
                <w:rFonts w:hint="default"/>
                <w:b/>
                <w:bCs/>
                <w:vertAlign w:val="baseline"/>
                <w:lang w:val="pt-BR"/>
              </w:rPr>
            </w:pPr>
            <w:r>
              <w:rPr>
                <w:rFonts w:hint="default"/>
                <w:b/>
                <w:bCs/>
                <w:vertAlign w:val="baseline"/>
                <w:lang w:val="pt-BR"/>
              </w:rPr>
              <w:t>Ficha metodológica para o indicador 19A - base PNE</w:t>
            </w:r>
          </w:p>
        </w:tc>
      </w:tr>
      <w:tr w14:paraId="2627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tcBorders>
              <w:top w:val="outset" w:color="auto" w:sz="6" w:space="0"/>
              <w:left w:val="outset" w:color="auto" w:sz="6" w:space="0"/>
              <w:bottom w:val="outset" w:color="auto" w:sz="6" w:space="0"/>
              <w:right w:val="outset" w:color="auto" w:sz="6" w:space="0"/>
            </w:tcBorders>
          </w:tcPr>
          <w:p w14:paraId="1FB382DA">
            <w:pPr>
              <w:spacing w:after="160" w:line="259" w:lineRule="auto"/>
              <w:rPr>
                <w:b/>
              </w:rPr>
            </w:pPr>
            <w:r>
              <w:rPr>
                <w:b/>
              </w:rPr>
              <w:t>Meta</w:t>
            </w:r>
          </w:p>
        </w:tc>
        <w:tc>
          <w:tcPr>
            <w:tcW w:w="6533" w:type="dxa"/>
            <w:gridSpan w:val="2"/>
            <w:tcBorders>
              <w:top w:val="outset" w:color="auto" w:sz="6" w:space="0"/>
              <w:left w:val="outset" w:color="auto" w:sz="6" w:space="0"/>
              <w:bottom w:val="outset" w:color="auto" w:sz="6" w:space="0"/>
              <w:right w:val="outset" w:color="auto" w:sz="6" w:space="0"/>
            </w:tcBorders>
          </w:tcPr>
          <w:p w14:paraId="1FECE86B">
            <w:pPr>
              <w:spacing w:after="160" w:line="259" w:lineRule="auto"/>
              <w:rPr>
                <w:b/>
              </w:rPr>
            </w:pPr>
            <w:r>
              <w:rPr>
                <w:b/>
              </w:rPr>
              <w:t>Texto da meta</w:t>
            </w:r>
          </w:p>
        </w:tc>
      </w:tr>
      <w:tr w14:paraId="45B1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tcBorders>
              <w:top w:val="nil"/>
              <w:left w:val="outset" w:color="auto" w:sz="6" w:space="0"/>
              <w:bottom w:val="outset" w:color="auto" w:sz="6" w:space="0"/>
              <w:right w:val="outset" w:color="auto" w:sz="6" w:space="0"/>
            </w:tcBorders>
          </w:tcPr>
          <w:p w14:paraId="0EE06304">
            <w:pPr>
              <w:spacing w:after="160" w:line="259" w:lineRule="auto"/>
            </w:pPr>
            <w:r>
              <w:t>19</w:t>
            </w:r>
          </w:p>
          <w:p w14:paraId="3BDA0533">
            <w:pPr>
              <w:spacing w:after="160" w:line="259" w:lineRule="auto"/>
            </w:pPr>
          </w:p>
          <w:p w14:paraId="513564B3">
            <w:pPr>
              <w:spacing w:after="160" w:line="259" w:lineRule="auto"/>
            </w:pPr>
          </w:p>
        </w:tc>
        <w:tc>
          <w:tcPr>
            <w:tcW w:w="6533" w:type="dxa"/>
            <w:gridSpan w:val="2"/>
            <w:tcBorders>
              <w:top w:val="nil"/>
              <w:left w:val="outset" w:color="auto" w:sz="6" w:space="0"/>
              <w:bottom w:val="outset" w:color="auto" w:sz="6" w:space="0"/>
              <w:right w:val="outset" w:color="auto" w:sz="6" w:space="0"/>
            </w:tcBorders>
          </w:tcPr>
          <w:p w14:paraId="090B89CB">
            <w:pPr>
              <w:spacing w:after="160" w:line="259" w:lineRule="auto"/>
              <w:jc w:val="both"/>
              <w:rPr>
                <w:i/>
              </w:rPr>
            </w:pPr>
            <w:r>
              <w:rPr>
                <w:bCs/>
              </w:rPr>
              <w:t>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tc>
      </w:tr>
      <w:tr w14:paraId="48A1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9" w:type="dxa"/>
            <w:gridSpan w:val="2"/>
            <w:tcBorders>
              <w:top w:val="outset" w:color="auto" w:sz="6" w:space="0"/>
              <w:left w:val="outset" w:color="auto" w:sz="6" w:space="0"/>
              <w:bottom w:val="outset" w:color="auto" w:sz="6" w:space="0"/>
              <w:right w:val="outset" w:color="auto" w:sz="6" w:space="0"/>
            </w:tcBorders>
          </w:tcPr>
          <w:p w14:paraId="13B61034">
            <w:pPr>
              <w:rPr>
                <w:rFonts w:hint="default"/>
                <w:lang w:val="pt-BR"/>
              </w:rPr>
            </w:pPr>
            <w:r>
              <w:rPr>
                <w:b/>
              </w:rPr>
              <w:t xml:space="preserve"> </w:t>
            </w:r>
            <w:r>
              <w:t>Indicador 1</w:t>
            </w:r>
            <w:r>
              <w:rPr>
                <w:rFonts w:hint="default"/>
                <w:lang w:val="pt-BR"/>
              </w:rPr>
              <w:t>9A Nacional</w:t>
            </w:r>
          </w:p>
        </w:tc>
        <w:tc>
          <w:tcPr>
            <w:tcW w:w="6527" w:type="dxa"/>
            <w:tcBorders>
              <w:top w:val="outset" w:color="auto" w:sz="6" w:space="0"/>
              <w:left w:val="outset" w:color="auto" w:sz="6" w:space="0"/>
              <w:bottom w:val="outset" w:color="auto" w:sz="6" w:space="0"/>
              <w:right w:val="outset" w:color="auto" w:sz="6" w:space="0"/>
            </w:tcBorders>
          </w:tcPr>
          <w:p w14:paraId="120F8236">
            <w:pPr>
              <w:spacing w:after="160" w:line="259" w:lineRule="auto"/>
              <w:jc w:val="both"/>
              <w:rPr>
                <w:rFonts w:hint="default"/>
                <w:lang w:val="pt-BR"/>
              </w:rPr>
            </w:pPr>
            <w:r>
              <w:t>Percentual de escolas públicas que selecionam diretores por meio de processo seletivo qualificado e eleição com participação da comunidade escola</w:t>
            </w:r>
            <w:r>
              <w:rPr>
                <w:rFonts w:hint="default"/>
                <w:lang w:val="pt-BR"/>
              </w:rPr>
              <w:t>.</w:t>
            </w:r>
          </w:p>
        </w:tc>
      </w:tr>
      <w:tr w14:paraId="5338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9" w:type="dxa"/>
            <w:gridSpan w:val="2"/>
            <w:tcBorders>
              <w:top w:val="outset" w:color="auto" w:sz="6" w:space="0"/>
              <w:left w:val="outset" w:color="auto" w:sz="6" w:space="0"/>
              <w:bottom w:val="outset" w:color="auto" w:sz="6" w:space="0"/>
              <w:right w:val="outset" w:color="auto" w:sz="6" w:space="0"/>
            </w:tcBorders>
          </w:tcPr>
          <w:p w14:paraId="4E82A27B">
            <w:pPr>
              <w:rPr>
                <w:rFonts w:hint="default"/>
                <w:b/>
                <w:lang w:val="pt-BR"/>
              </w:rPr>
            </w:pPr>
            <w:r>
              <w:rPr>
                <w:rFonts w:hint="default"/>
                <w:b w:val="0"/>
                <w:bCs/>
                <w:lang w:val="pt-BR"/>
              </w:rPr>
              <w:t>Indicador 19A Proposto</w:t>
            </w:r>
          </w:p>
        </w:tc>
        <w:tc>
          <w:tcPr>
            <w:tcW w:w="6527" w:type="dxa"/>
            <w:tcBorders>
              <w:top w:val="outset" w:color="auto" w:sz="6" w:space="0"/>
              <w:left w:val="outset" w:color="auto" w:sz="6" w:space="0"/>
              <w:bottom w:val="outset" w:color="auto" w:sz="6" w:space="0"/>
              <w:right w:val="outset" w:color="auto" w:sz="6" w:space="0"/>
            </w:tcBorders>
          </w:tcPr>
          <w:p w14:paraId="0D8243AA">
            <w:pPr>
              <w:spacing w:after="160" w:line="259" w:lineRule="auto"/>
              <w:jc w:val="both"/>
              <w:rPr>
                <w:rFonts w:hint="default"/>
                <w:lang w:val="pt-BR"/>
              </w:rPr>
            </w:pPr>
            <w:r>
              <w:rPr>
                <w:rFonts w:hint="default"/>
                <w:lang w:val="pt-BR"/>
              </w:rPr>
              <w:t>Replicar o nacional</w:t>
            </w:r>
          </w:p>
        </w:tc>
      </w:tr>
      <w:tr w14:paraId="2767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9" w:type="dxa"/>
            <w:gridSpan w:val="2"/>
            <w:tcBorders>
              <w:top w:val="nil"/>
              <w:left w:val="outset" w:color="auto" w:sz="6" w:space="0"/>
              <w:bottom w:val="outset" w:color="auto" w:sz="6" w:space="0"/>
              <w:right w:val="outset" w:color="auto" w:sz="6" w:space="0"/>
            </w:tcBorders>
          </w:tcPr>
          <w:p w14:paraId="5E837C8A">
            <w:pPr>
              <w:spacing w:after="160" w:line="259" w:lineRule="auto"/>
            </w:pPr>
            <w:r>
              <w:t>Fórmula de cálculo</w:t>
            </w:r>
          </w:p>
          <w:p w14:paraId="5E86B57C">
            <w:pPr>
              <w:spacing w:after="160" w:line="259" w:lineRule="auto"/>
            </w:pPr>
          </w:p>
        </w:tc>
        <w:tc>
          <w:tcPr>
            <w:tcW w:w="6527" w:type="dxa"/>
            <w:tcBorders>
              <w:top w:val="nil"/>
              <w:left w:val="outset" w:color="auto" w:sz="6" w:space="0"/>
              <w:bottom w:val="outset" w:color="auto" w:sz="6" w:space="0"/>
              <w:right w:val="outset" w:color="auto" w:sz="6" w:space="0"/>
            </w:tcBorders>
          </w:tcPr>
          <w:p w14:paraId="04DBA9F5">
            <w:pPr>
              <w:spacing w:after="160" w:line="259" w:lineRule="auto"/>
              <w:jc w:val="both"/>
            </w:pPr>
            <w:r>
              <w:t>(Quantidade de escolas públicas que selecionam diretores por meio de processo seletivo qualificado e eleição com participação da comunidade escolar / Quantidade total de escolas públicas) x 100</w:t>
            </w:r>
          </w:p>
        </w:tc>
      </w:tr>
      <w:tr w14:paraId="1169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9" w:type="dxa"/>
            <w:gridSpan w:val="2"/>
            <w:tcBorders>
              <w:top w:val="nil"/>
              <w:left w:val="outset" w:color="auto" w:sz="6" w:space="0"/>
              <w:bottom w:val="outset" w:color="auto" w:sz="6" w:space="0"/>
              <w:right w:val="outset" w:color="auto" w:sz="6" w:space="0"/>
            </w:tcBorders>
          </w:tcPr>
          <w:p w14:paraId="1B5F6FF8">
            <w:pPr>
              <w:spacing w:after="160" w:line="259" w:lineRule="auto"/>
            </w:pPr>
            <w:r>
              <w:t>Comentário</w:t>
            </w:r>
          </w:p>
          <w:p w14:paraId="64A78C0B">
            <w:pPr>
              <w:spacing w:after="160" w:line="259" w:lineRule="auto"/>
            </w:pPr>
          </w:p>
        </w:tc>
        <w:tc>
          <w:tcPr>
            <w:tcW w:w="6527" w:type="dxa"/>
            <w:tcBorders>
              <w:top w:val="nil"/>
              <w:left w:val="outset" w:color="auto" w:sz="6" w:space="0"/>
              <w:bottom w:val="outset" w:color="auto" w:sz="6" w:space="0"/>
              <w:right w:val="outset" w:color="auto" w:sz="6" w:space="0"/>
            </w:tcBorders>
          </w:tcPr>
          <w:p w14:paraId="34B19A3F">
            <w:pPr>
              <w:spacing w:after="160" w:line="259" w:lineRule="auto"/>
              <w:jc w:val="both"/>
              <w:rPr>
                <w:rFonts w:hint="default"/>
                <w:lang w:val="pt-BR"/>
              </w:rPr>
            </w:pPr>
            <w:r>
              <w:t>Incluído conforme Relatório do 3º Ciclo de Monitoramento das Metas do Plano Nacional de Educação – 2020 (INEP). * Porém, a partir de 2021 os arquivos de dados do Censo Escolar da Educação Básica disponibilizados pelo INEP, não publicou as informações sobre de escolas públicas que selecionam diretores por meio de processo seletivo qualificado e eleição com participação da comunidade escolar. Dessa forma, para os municípios, a série histórica fica interrompida em 2021 por falta de dados</w:t>
            </w:r>
            <w:r>
              <w:rPr>
                <w:rFonts w:hint="default"/>
                <w:lang w:val="pt-BR"/>
              </w:rPr>
              <w:t>.</w:t>
            </w:r>
          </w:p>
        </w:tc>
      </w:tr>
    </w:tbl>
    <w:p w14:paraId="53A9C1EE">
      <w:r>
        <w:t xml:space="preserve"> </w:t>
      </w:r>
    </w:p>
    <w:p w14:paraId="67A84737"/>
    <w:p w14:paraId="2FCD7D94"/>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965"/>
        <w:gridCol w:w="1965"/>
        <w:gridCol w:w="1965"/>
        <w:gridCol w:w="1965"/>
      </w:tblGrid>
      <w:tr w14:paraId="3723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0" w:type="dxa"/>
            <w:gridSpan w:val="5"/>
          </w:tcPr>
          <w:p w14:paraId="0F4413F4">
            <w:pPr>
              <w:jc w:val="center"/>
              <w:rPr>
                <w:rFonts w:hint="default"/>
                <w:b/>
                <w:bCs/>
                <w:vertAlign w:val="baseline"/>
                <w:lang w:val="pt-BR"/>
              </w:rPr>
            </w:pPr>
            <w:r>
              <w:rPr>
                <w:rFonts w:hint="default"/>
                <w:b/>
                <w:bCs/>
                <w:vertAlign w:val="baseline"/>
                <w:lang w:val="pt-BR"/>
              </w:rPr>
              <w:t>Dados/Indicadores: Indicador 19A</w:t>
            </w:r>
          </w:p>
        </w:tc>
      </w:tr>
      <w:tr w14:paraId="36D2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10" w:type="dxa"/>
            <w:tcBorders>
              <w:top w:val="outset" w:color="auto" w:sz="6" w:space="0"/>
              <w:left w:val="outset" w:color="auto" w:sz="6" w:space="0"/>
              <w:bottom w:val="outset" w:color="auto" w:sz="6" w:space="0"/>
              <w:right w:val="outset" w:color="auto" w:sz="6" w:space="0"/>
            </w:tcBorders>
          </w:tcPr>
          <w:p w14:paraId="18272278">
            <w:pPr>
              <w:spacing w:after="160" w:line="259" w:lineRule="auto"/>
              <w:rPr>
                <w:rFonts w:hint="default"/>
                <w:lang w:val="pt-BR"/>
              </w:rPr>
            </w:pPr>
            <w:r>
              <w:rPr>
                <w:rFonts w:hint="default"/>
                <w:lang w:val="pt-BR"/>
              </w:rPr>
              <w:t>Ano</w:t>
            </w:r>
          </w:p>
        </w:tc>
        <w:tc>
          <w:tcPr>
            <w:tcW w:w="1965" w:type="dxa"/>
            <w:tcBorders>
              <w:top w:val="outset" w:color="auto" w:sz="6" w:space="0"/>
              <w:left w:val="outset" w:color="auto" w:sz="6" w:space="0"/>
              <w:bottom w:val="outset" w:color="auto" w:sz="6" w:space="0"/>
              <w:right w:val="outset" w:color="auto" w:sz="6" w:space="0"/>
            </w:tcBorders>
          </w:tcPr>
          <w:p w14:paraId="7F0EBA22">
            <w:pPr>
              <w:spacing w:after="160" w:line="259" w:lineRule="auto"/>
            </w:pPr>
            <w:r>
              <w:t>2020</w:t>
            </w:r>
          </w:p>
        </w:tc>
        <w:tc>
          <w:tcPr>
            <w:tcW w:w="1965" w:type="dxa"/>
            <w:tcBorders>
              <w:top w:val="outset" w:color="auto" w:sz="6" w:space="0"/>
              <w:left w:val="outset" w:color="auto" w:sz="6" w:space="0"/>
              <w:bottom w:val="outset" w:color="auto" w:sz="6" w:space="0"/>
              <w:right w:val="outset" w:color="auto" w:sz="6" w:space="0"/>
            </w:tcBorders>
          </w:tcPr>
          <w:p w14:paraId="14BB30DE">
            <w:pPr>
              <w:spacing w:after="160" w:line="259" w:lineRule="auto"/>
            </w:pPr>
            <w:r>
              <w:t>2021</w:t>
            </w:r>
          </w:p>
        </w:tc>
        <w:tc>
          <w:tcPr>
            <w:tcW w:w="1965" w:type="dxa"/>
            <w:tcBorders>
              <w:top w:val="outset" w:color="auto" w:sz="6" w:space="0"/>
              <w:left w:val="outset" w:color="auto" w:sz="6" w:space="0"/>
              <w:bottom w:val="outset" w:color="auto" w:sz="6" w:space="0"/>
              <w:right w:val="outset" w:color="auto" w:sz="6" w:space="0"/>
            </w:tcBorders>
          </w:tcPr>
          <w:p w14:paraId="3EA8037E">
            <w:pPr>
              <w:spacing w:after="160" w:line="259" w:lineRule="auto"/>
            </w:pPr>
            <w:r>
              <w:t>2022</w:t>
            </w:r>
          </w:p>
        </w:tc>
        <w:tc>
          <w:tcPr>
            <w:tcW w:w="1965" w:type="dxa"/>
            <w:tcBorders>
              <w:top w:val="outset" w:color="auto" w:sz="6" w:space="0"/>
              <w:left w:val="outset" w:color="auto" w:sz="6" w:space="0"/>
              <w:bottom w:val="outset" w:color="auto" w:sz="6" w:space="0"/>
              <w:right w:val="outset" w:color="auto" w:sz="6" w:space="0"/>
            </w:tcBorders>
          </w:tcPr>
          <w:p w14:paraId="174B75CF">
            <w:pPr>
              <w:spacing w:after="160" w:line="259" w:lineRule="auto"/>
              <w:rPr>
                <w:rFonts w:hint="default"/>
                <w:lang w:val="pt-BR"/>
              </w:rPr>
            </w:pPr>
            <w:r>
              <w:rPr>
                <w:rFonts w:hint="default"/>
                <w:lang w:val="pt-BR"/>
              </w:rPr>
              <w:t>2023</w:t>
            </w:r>
          </w:p>
        </w:tc>
      </w:tr>
      <w:tr w14:paraId="472B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10" w:type="dxa"/>
            <w:tcBorders>
              <w:top w:val="nil"/>
              <w:left w:val="outset" w:color="auto" w:sz="6" w:space="0"/>
              <w:bottom w:val="outset" w:color="auto" w:sz="6" w:space="0"/>
              <w:right w:val="outset" w:color="auto" w:sz="6" w:space="0"/>
            </w:tcBorders>
          </w:tcPr>
          <w:p w14:paraId="6F2B09FD">
            <w:pPr>
              <w:spacing w:after="160" w:line="259" w:lineRule="auto"/>
            </w:pPr>
            <w:r>
              <w:t xml:space="preserve">Indicador </w:t>
            </w:r>
          </w:p>
        </w:tc>
        <w:tc>
          <w:tcPr>
            <w:tcW w:w="1965" w:type="dxa"/>
            <w:tcBorders>
              <w:top w:val="nil"/>
              <w:left w:val="outset" w:color="auto" w:sz="6" w:space="0"/>
              <w:bottom w:val="outset" w:color="auto" w:sz="6" w:space="0"/>
              <w:right w:val="outset" w:color="auto" w:sz="6" w:space="0"/>
            </w:tcBorders>
          </w:tcPr>
          <w:p w14:paraId="341C1D92">
            <w:pPr>
              <w:spacing w:after="160" w:line="259" w:lineRule="auto"/>
            </w:pPr>
            <w:r>
              <w:t>0,0%</w:t>
            </w:r>
          </w:p>
        </w:tc>
        <w:tc>
          <w:tcPr>
            <w:tcW w:w="1965" w:type="dxa"/>
            <w:tcBorders>
              <w:top w:val="nil"/>
              <w:left w:val="outset" w:color="auto" w:sz="6" w:space="0"/>
              <w:bottom w:val="outset" w:color="auto" w:sz="6" w:space="0"/>
              <w:right w:val="outset" w:color="auto" w:sz="6" w:space="0"/>
            </w:tcBorders>
            <w:shd w:val="clear" w:color="auto" w:fill="D8D8D8"/>
          </w:tcPr>
          <w:p w14:paraId="5EAB4576">
            <w:r>
              <w:t>*</w:t>
            </w:r>
          </w:p>
        </w:tc>
        <w:tc>
          <w:tcPr>
            <w:tcW w:w="1965" w:type="dxa"/>
            <w:tcBorders>
              <w:top w:val="nil"/>
              <w:left w:val="outset" w:color="auto" w:sz="6" w:space="0"/>
              <w:bottom w:val="outset" w:color="auto" w:sz="6" w:space="0"/>
              <w:right w:val="outset" w:color="auto" w:sz="6" w:space="0"/>
            </w:tcBorders>
            <w:shd w:val="clear" w:color="auto" w:fill="D8D8D8"/>
          </w:tcPr>
          <w:p w14:paraId="2A53C36F">
            <w:r>
              <w:t>*</w:t>
            </w:r>
          </w:p>
        </w:tc>
        <w:tc>
          <w:tcPr>
            <w:tcW w:w="1965" w:type="dxa"/>
            <w:tcBorders>
              <w:top w:val="nil"/>
              <w:left w:val="outset" w:color="auto" w:sz="6" w:space="0"/>
              <w:bottom w:val="outset" w:color="auto" w:sz="6" w:space="0"/>
              <w:right w:val="outset" w:color="auto" w:sz="6" w:space="0"/>
            </w:tcBorders>
            <w:shd w:val="clear" w:color="auto" w:fill="D8D8D8"/>
          </w:tcPr>
          <w:p w14:paraId="139AD626">
            <w:pPr>
              <w:rPr>
                <w:rFonts w:hint="default"/>
                <w:lang w:val="pt-BR"/>
              </w:rPr>
            </w:pPr>
            <w:r>
              <w:rPr>
                <w:rFonts w:hint="default"/>
                <w:lang w:val="pt-BR"/>
              </w:rPr>
              <w:t>*</w:t>
            </w:r>
          </w:p>
        </w:tc>
      </w:tr>
    </w:tbl>
    <w:p w14:paraId="26857424">
      <w:r>
        <w:t>Fonte: INEP – Censo Escolar da Educação Básica</w:t>
      </w: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2"/>
        <w:gridCol w:w="6534"/>
        <w:gridCol w:w="89"/>
      </w:tblGrid>
      <w:tr w14:paraId="57DE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3"/>
          </w:tcPr>
          <w:p w14:paraId="0B0C3AC0">
            <w:pPr>
              <w:jc w:val="center"/>
              <w:rPr>
                <w:rFonts w:hint="default"/>
                <w:b/>
                <w:bCs/>
                <w:vertAlign w:val="baseline"/>
                <w:lang w:val="pt-BR"/>
              </w:rPr>
            </w:pPr>
            <w:r>
              <w:rPr>
                <w:rFonts w:hint="default"/>
                <w:b/>
                <w:bCs/>
                <w:vertAlign w:val="baseline"/>
                <w:lang w:val="pt-BR"/>
              </w:rPr>
              <w:t>Ficha metodológica para o indicador 19B - base PNE</w:t>
            </w:r>
          </w:p>
        </w:tc>
      </w:tr>
      <w:tr w14:paraId="6316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tcBorders>
              <w:top w:val="outset" w:color="auto" w:sz="6" w:space="0"/>
              <w:left w:val="outset" w:color="auto" w:sz="6" w:space="0"/>
              <w:bottom w:val="outset" w:color="auto" w:sz="6" w:space="0"/>
              <w:right w:val="outset" w:color="auto" w:sz="6" w:space="0"/>
            </w:tcBorders>
          </w:tcPr>
          <w:p w14:paraId="05D50B3C">
            <w:pPr>
              <w:spacing w:after="160" w:line="259" w:lineRule="auto"/>
              <w:rPr>
                <w:b/>
              </w:rPr>
            </w:pPr>
            <w:r>
              <w:rPr>
                <w:b/>
              </w:rPr>
              <w:t>Meta</w:t>
            </w:r>
          </w:p>
        </w:tc>
        <w:tc>
          <w:tcPr>
            <w:tcW w:w="6533" w:type="dxa"/>
            <w:tcBorders>
              <w:top w:val="outset" w:color="auto" w:sz="6" w:space="0"/>
              <w:left w:val="outset" w:color="auto" w:sz="6" w:space="0"/>
              <w:bottom w:val="outset" w:color="auto" w:sz="6" w:space="0"/>
              <w:right w:val="outset" w:color="auto" w:sz="6" w:space="0"/>
            </w:tcBorders>
          </w:tcPr>
          <w:p w14:paraId="7B50F3B0">
            <w:pPr>
              <w:spacing w:after="160" w:line="259" w:lineRule="auto"/>
              <w:rPr>
                <w:b/>
              </w:rPr>
            </w:pPr>
            <w:r>
              <w:rPr>
                <w:b/>
              </w:rPr>
              <w:t>Texto da meta</w:t>
            </w:r>
          </w:p>
        </w:tc>
      </w:tr>
      <w:tr w14:paraId="7F66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tcBorders>
              <w:top w:val="nil"/>
              <w:left w:val="outset" w:color="auto" w:sz="6" w:space="0"/>
              <w:bottom w:val="outset" w:color="auto" w:sz="6" w:space="0"/>
              <w:right w:val="outset" w:color="auto" w:sz="6" w:space="0"/>
            </w:tcBorders>
          </w:tcPr>
          <w:p w14:paraId="7C0CE4C3">
            <w:pPr>
              <w:spacing w:after="160" w:line="259" w:lineRule="auto"/>
            </w:pPr>
            <w:r>
              <w:t>19</w:t>
            </w:r>
          </w:p>
          <w:p w14:paraId="134F8B42">
            <w:pPr>
              <w:spacing w:after="160" w:line="259" w:lineRule="auto"/>
            </w:pPr>
          </w:p>
          <w:p w14:paraId="57852AD2">
            <w:pPr>
              <w:spacing w:after="160" w:line="259" w:lineRule="auto"/>
            </w:pPr>
          </w:p>
        </w:tc>
        <w:tc>
          <w:tcPr>
            <w:tcW w:w="6533" w:type="dxa"/>
            <w:tcBorders>
              <w:top w:val="nil"/>
              <w:left w:val="outset" w:color="auto" w:sz="6" w:space="0"/>
              <w:bottom w:val="outset" w:color="auto" w:sz="6" w:space="0"/>
              <w:right w:val="outset" w:color="auto" w:sz="6" w:space="0"/>
            </w:tcBorders>
          </w:tcPr>
          <w:p w14:paraId="206297C5">
            <w:pPr>
              <w:spacing w:after="160" w:line="259" w:lineRule="auto"/>
              <w:jc w:val="both"/>
              <w:rPr>
                <w:i/>
              </w:rPr>
            </w:pPr>
            <w:r>
              <w:rPr>
                <w:bCs/>
              </w:rPr>
              <w:t>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tc>
      </w:tr>
      <w:tr w14:paraId="5D27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2" w:type="dxa"/>
            <w:tcBorders>
              <w:top w:val="outset" w:color="auto" w:sz="6" w:space="0"/>
              <w:left w:val="outset" w:color="auto" w:sz="6" w:space="0"/>
              <w:bottom w:val="outset" w:color="auto" w:sz="6" w:space="0"/>
              <w:right w:val="outset" w:color="auto" w:sz="6" w:space="0"/>
            </w:tcBorders>
          </w:tcPr>
          <w:p w14:paraId="10B5060B">
            <w:pPr>
              <w:spacing w:after="160" w:line="259" w:lineRule="auto"/>
              <w:rPr>
                <w:rFonts w:hint="default"/>
                <w:lang w:val="pt-BR"/>
              </w:rPr>
            </w:pPr>
            <w:r>
              <w:t xml:space="preserve">Indicador </w:t>
            </w:r>
            <w:r>
              <w:rPr>
                <w:rFonts w:hint="default"/>
                <w:lang w:val="pt-BR"/>
              </w:rPr>
              <w:t xml:space="preserve">19B Nacional </w:t>
            </w:r>
          </w:p>
        </w:tc>
        <w:tc>
          <w:tcPr>
            <w:tcW w:w="6534" w:type="dxa"/>
            <w:tcBorders>
              <w:top w:val="outset" w:color="auto" w:sz="6" w:space="0"/>
              <w:left w:val="outset" w:color="auto" w:sz="6" w:space="0"/>
              <w:bottom w:val="outset" w:color="auto" w:sz="6" w:space="0"/>
              <w:right w:val="outset" w:color="auto" w:sz="6" w:space="0"/>
            </w:tcBorders>
          </w:tcPr>
          <w:p w14:paraId="44682828">
            <w:pPr>
              <w:spacing w:after="160" w:line="259" w:lineRule="auto"/>
              <w:jc w:val="both"/>
            </w:pPr>
            <w:r>
              <w:t>Percentual de existência de colegiados intraescolares (conselho escolar, associação de pais e mestres, grêmio estudantil) nas escolas públicas brasileiras</w:t>
            </w:r>
          </w:p>
        </w:tc>
      </w:tr>
      <w:tr w14:paraId="454A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2" w:type="dxa"/>
            <w:tcBorders>
              <w:top w:val="outset" w:color="auto" w:sz="6" w:space="0"/>
              <w:left w:val="outset" w:color="auto" w:sz="6" w:space="0"/>
              <w:bottom w:val="outset" w:color="auto" w:sz="6" w:space="0"/>
              <w:right w:val="outset" w:color="auto" w:sz="6" w:space="0"/>
            </w:tcBorders>
          </w:tcPr>
          <w:p w14:paraId="128BB389">
            <w:pPr>
              <w:spacing w:after="160" w:line="259" w:lineRule="auto"/>
              <w:rPr>
                <w:rFonts w:hint="default"/>
                <w:lang w:val="pt-BR"/>
              </w:rPr>
            </w:pPr>
            <w:r>
              <w:rPr>
                <w:rFonts w:hint="default"/>
                <w:lang w:val="pt-BR"/>
              </w:rPr>
              <w:t>Indicador 19B Proposto</w:t>
            </w:r>
          </w:p>
        </w:tc>
        <w:tc>
          <w:tcPr>
            <w:tcW w:w="6534" w:type="dxa"/>
            <w:tcBorders>
              <w:top w:val="outset" w:color="auto" w:sz="6" w:space="0"/>
              <w:left w:val="outset" w:color="auto" w:sz="6" w:space="0"/>
              <w:bottom w:val="outset" w:color="auto" w:sz="6" w:space="0"/>
              <w:right w:val="outset" w:color="auto" w:sz="6" w:space="0"/>
            </w:tcBorders>
          </w:tcPr>
          <w:p w14:paraId="075F9A15">
            <w:pPr>
              <w:spacing w:after="160" w:line="259" w:lineRule="auto"/>
              <w:jc w:val="both"/>
              <w:rPr>
                <w:rFonts w:hint="default"/>
                <w:lang w:val="pt-BR"/>
              </w:rPr>
            </w:pPr>
            <w:r>
              <w:rPr>
                <w:rFonts w:hint="default"/>
                <w:lang w:val="pt-BR"/>
              </w:rPr>
              <w:t>Replicar o nacional</w:t>
            </w:r>
          </w:p>
        </w:tc>
      </w:tr>
      <w:tr w14:paraId="6422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2" w:type="dxa"/>
            <w:tcBorders>
              <w:top w:val="nil"/>
              <w:left w:val="outset" w:color="auto" w:sz="6" w:space="0"/>
              <w:bottom w:val="outset" w:color="auto" w:sz="6" w:space="0"/>
              <w:right w:val="outset" w:color="auto" w:sz="6" w:space="0"/>
            </w:tcBorders>
          </w:tcPr>
          <w:p w14:paraId="1BBDDE37">
            <w:pPr>
              <w:spacing w:after="160" w:line="259" w:lineRule="auto"/>
            </w:pPr>
            <w:r>
              <w:t>Fórmula de cálculo</w:t>
            </w:r>
          </w:p>
        </w:tc>
        <w:tc>
          <w:tcPr>
            <w:tcW w:w="6534" w:type="dxa"/>
            <w:tcBorders>
              <w:top w:val="nil"/>
              <w:left w:val="outset" w:color="auto" w:sz="6" w:space="0"/>
              <w:bottom w:val="outset" w:color="auto" w:sz="6" w:space="0"/>
              <w:right w:val="outset" w:color="auto" w:sz="6" w:space="0"/>
            </w:tcBorders>
          </w:tcPr>
          <w:p w14:paraId="72115714">
            <w:pPr>
              <w:spacing w:after="160" w:line="259" w:lineRule="auto"/>
              <w:jc w:val="both"/>
            </w:pPr>
            <w:r>
              <w:t>(Quantidade dos órgãos colegiados intraescolares (conselhos escolares, associações de pais e mestres e grêmios estudantis) existentes nas escolas públicas de educação básica / Quantidade máxima possível dos órgãos colegiados intraescolares (conselhos escolares, associações de pais e mestres e grêmios estudantis) nas escolas públicas de educação básica) x 100</w:t>
            </w:r>
          </w:p>
        </w:tc>
      </w:tr>
      <w:tr w14:paraId="5EBD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2" w:type="dxa"/>
            <w:tcBorders>
              <w:top w:val="nil"/>
              <w:left w:val="outset" w:color="auto" w:sz="6" w:space="0"/>
              <w:bottom w:val="outset" w:color="auto" w:sz="6" w:space="0"/>
              <w:right w:val="outset" w:color="auto" w:sz="6" w:space="0"/>
            </w:tcBorders>
          </w:tcPr>
          <w:p w14:paraId="3F71A3D2">
            <w:pPr>
              <w:spacing w:after="160" w:line="259" w:lineRule="auto"/>
            </w:pPr>
            <w:r>
              <w:t>Comentário</w:t>
            </w:r>
          </w:p>
        </w:tc>
        <w:tc>
          <w:tcPr>
            <w:tcW w:w="6534" w:type="dxa"/>
            <w:tcBorders>
              <w:top w:val="nil"/>
              <w:left w:val="outset" w:color="auto" w:sz="6" w:space="0"/>
              <w:bottom w:val="outset" w:color="auto" w:sz="6" w:space="0"/>
              <w:right w:val="outset" w:color="auto" w:sz="6" w:space="0"/>
            </w:tcBorders>
          </w:tcPr>
          <w:p w14:paraId="28A715BA">
            <w:pPr>
              <w:spacing w:after="160" w:line="259" w:lineRule="auto"/>
              <w:jc w:val="both"/>
            </w:pPr>
            <w:r>
              <w:t>Incluído conforme Relatório do 3º Ciclo de Monitoramento das Metas do Plano Nacional de Educação – 2020 (INEP).</w:t>
            </w:r>
          </w:p>
        </w:tc>
      </w:tr>
    </w:tbl>
    <w:p w14:paraId="3558E8C9">
      <w:r>
        <w:t xml:space="preserve"> </w:t>
      </w:r>
    </w:p>
    <w:p w14:paraId="1F0BF570">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965"/>
        <w:gridCol w:w="1965"/>
        <w:gridCol w:w="1965"/>
        <w:gridCol w:w="1965"/>
      </w:tblGrid>
      <w:tr w14:paraId="11D1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0" w:type="dxa"/>
            <w:gridSpan w:val="5"/>
          </w:tcPr>
          <w:p w14:paraId="1EB7ACF6">
            <w:pPr>
              <w:jc w:val="center"/>
              <w:rPr>
                <w:rFonts w:hint="default"/>
                <w:b/>
                <w:bCs/>
                <w:vertAlign w:val="baseline"/>
                <w:lang w:val="pt-BR"/>
              </w:rPr>
            </w:pPr>
            <w:r>
              <w:rPr>
                <w:rFonts w:hint="default"/>
                <w:b/>
                <w:bCs/>
                <w:vertAlign w:val="baseline"/>
                <w:lang w:val="pt-BR"/>
              </w:rPr>
              <w:t>Dados/Indicadores: Indicador 19B</w:t>
            </w:r>
          </w:p>
        </w:tc>
      </w:tr>
      <w:tr w14:paraId="6D0B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10" w:type="dxa"/>
            <w:tcBorders>
              <w:top w:val="outset" w:color="auto" w:sz="6" w:space="0"/>
              <w:left w:val="outset" w:color="auto" w:sz="6" w:space="0"/>
              <w:bottom w:val="outset" w:color="auto" w:sz="6" w:space="0"/>
              <w:right w:val="outset" w:color="auto" w:sz="6" w:space="0"/>
            </w:tcBorders>
          </w:tcPr>
          <w:p w14:paraId="791AF258">
            <w:pPr>
              <w:spacing w:after="160" w:line="259" w:lineRule="auto"/>
              <w:rPr>
                <w:rFonts w:hint="default"/>
                <w:lang w:val="pt-BR"/>
              </w:rPr>
            </w:pPr>
            <w:r>
              <w:rPr>
                <w:rFonts w:hint="default"/>
                <w:lang w:val="pt-BR"/>
              </w:rPr>
              <w:t>Ano</w:t>
            </w:r>
          </w:p>
        </w:tc>
        <w:tc>
          <w:tcPr>
            <w:tcW w:w="1965" w:type="dxa"/>
            <w:tcBorders>
              <w:top w:val="outset" w:color="auto" w:sz="6" w:space="0"/>
              <w:left w:val="outset" w:color="auto" w:sz="6" w:space="0"/>
              <w:bottom w:val="outset" w:color="auto" w:sz="6" w:space="0"/>
              <w:right w:val="outset" w:color="auto" w:sz="6" w:space="0"/>
            </w:tcBorders>
          </w:tcPr>
          <w:p w14:paraId="60A08A95">
            <w:pPr>
              <w:spacing w:after="160" w:line="259" w:lineRule="auto"/>
            </w:pPr>
            <w:r>
              <w:t>2020</w:t>
            </w:r>
          </w:p>
        </w:tc>
        <w:tc>
          <w:tcPr>
            <w:tcW w:w="1965" w:type="dxa"/>
            <w:tcBorders>
              <w:top w:val="outset" w:color="auto" w:sz="6" w:space="0"/>
              <w:left w:val="outset" w:color="auto" w:sz="6" w:space="0"/>
              <w:bottom w:val="outset" w:color="auto" w:sz="6" w:space="0"/>
              <w:right w:val="outset" w:color="auto" w:sz="6" w:space="0"/>
            </w:tcBorders>
          </w:tcPr>
          <w:p w14:paraId="497B7680">
            <w:pPr>
              <w:spacing w:after="160" w:line="259" w:lineRule="auto"/>
            </w:pPr>
            <w:r>
              <w:t>2021</w:t>
            </w:r>
          </w:p>
        </w:tc>
        <w:tc>
          <w:tcPr>
            <w:tcW w:w="1965" w:type="dxa"/>
            <w:tcBorders>
              <w:top w:val="outset" w:color="auto" w:sz="6" w:space="0"/>
              <w:left w:val="outset" w:color="auto" w:sz="6" w:space="0"/>
              <w:bottom w:val="outset" w:color="auto" w:sz="6" w:space="0"/>
              <w:right w:val="outset" w:color="auto" w:sz="6" w:space="0"/>
            </w:tcBorders>
          </w:tcPr>
          <w:p w14:paraId="4A0B942F">
            <w:pPr>
              <w:spacing w:after="160" w:line="259" w:lineRule="auto"/>
            </w:pPr>
            <w:r>
              <w:t>2022</w:t>
            </w:r>
          </w:p>
        </w:tc>
        <w:tc>
          <w:tcPr>
            <w:tcW w:w="1965" w:type="dxa"/>
            <w:tcBorders>
              <w:top w:val="outset" w:color="auto" w:sz="6" w:space="0"/>
              <w:left w:val="outset" w:color="auto" w:sz="6" w:space="0"/>
              <w:bottom w:val="outset" w:color="auto" w:sz="6" w:space="0"/>
              <w:right w:val="outset" w:color="auto" w:sz="6" w:space="0"/>
            </w:tcBorders>
          </w:tcPr>
          <w:p w14:paraId="4B3116E3">
            <w:pPr>
              <w:spacing w:after="160" w:line="259" w:lineRule="auto"/>
              <w:rPr>
                <w:rFonts w:hint="default"/>
                <w:lang w:val="pt-BR"/>
              </w:rPr>
            </w:pPr>
            <w:r>
              <w:rPr>
                <w:rFonts w:hint="default"/>
                <w:lang w:val="pt-BR"/>
              </w:rPr>
              <w:t>2023</w:t>
            </w:r>
          </w:p>
        </w:tc>
      </w:tr>
      <w:tr w14:paraId="679D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10" w:type="dxa"/>
            <w:tcBorders>
              <w:top w:val="nil"/>
              <w:left w:val="outset" w:color="auto" w:sz="6" w:space="0"/>
              <w:bottom w:val="outset" w:color="auto" w:sz="6" w:space="0"/>
              <w:right w:val="outset" w:color="auto" w:sz="6" w:space="0"/>
            </w:tcBorders>
          </w:tcPr>
          <w:p w14:paraId="317C9EB8">
            <w:pPr>
              <w:spacing w:after="160" w:line="259" w:lineRule="auto"/>
            </w:pPr>
            <w:r>
              <w:t xml:space="preserve">Indicador </w:t>
            </w:r>
          </w:p>
        </w:tc>
        <w:tc>
          <w:tcPr>
            <w:tcW w:w="1965" w:type="dxa"/>
            <w:tcBorders>
              <w:top w:val="nil"/>
              <w:left w:val="outset" w:color="auto" w:sz="6" w:space="0"/>
              <w:bottom w:val="outset" w:color="auto" w:sz="6" w:space="0"/>
              <w:right w:val="outset" w:color="auto" w:sz="6" w:space="0"/>
            </w:tcBorders>
          </w:tcPr>
          <w:p w14:paraId="061D86B6">
            <w:pPr>
              <w:spacing w:after="160" w:line="259" w:lineRule="auto"/>
            </w:pPr>
            <w:r>
              <w:t>76,2%</w:t>
            </w:r>
          </w:p>
        </w:tc>
        <w:tc>
          <w:tcPr>
            <w:tcW w:w="1965" w:type="dxa"/>
            <w:tcBorders>
              <w:top w:val="nil"/>
              <w:left w:val="outset" w:color="auto" w:sz="6" w:space="0"/>
              <w:bottom w:val="outset" w:color="auto" w:sz="6" w:space="0"/>
              <w:right w:val="outset" w:color="auto" w:sz="6" w:space="0"/>
            </w:tcBorders>
          </w:tcPr>
          <w:p w14:paraId="3EBA10E0">
            <w:pPr>
              <w:spacing w:after="160" w:line="259" w:lineRule="auto"/>
            </w:pPr>
            <w:r>
              <w:t>76,2%</w:t>
            </w:r>
          </w:p>
        </w:tc>
        <w:tc>
          <w:tcPr>
            <w:tcW w:w="1965" w:type="dxa"/>
            <w:tcBorders>
              <w:top w:val="nil"/>
              <w:left w:val="outset" w:color="auto" w:sz="6" w:space="0"/>
              <w:bottom w:val="outset" w:color="auto" w:sz="6" w:space="0"/>
              <w:right w:val="outset" w:color="auto" w:sz="6" w:space="0"/>
            </w:tcBorders>
          </w:tcPr>
          <w:p w14:paraId="3444E095">
            <w:pPr>
              <w:spacing w:after="160" w:line="259" w:lineRule="auto"/>
            </w:pPr>
            <w:r>
              <w:t>81,0%</w:t>
            </w:r>
          </w:p>
        </w:tc>
        <w:tc>
          <w:tcPr>
            <w:tcW w:w="1965" w:type="dxa"/>
            <w:tcBorders>
              <w:top w:val="nil"/>
              <w:left w:val="outset" w:color="auto" w:sz="6" w:space="0"/>
              <w:bottom w:val="outset" w:color="auto" w:sz="6" w:space="0"/>
              <w:right w:val="outset" w:color="auto" w:sz="6" w:space="0"/>
            </w:tcBorders>
          </w:tcPr>
          <w:p w14:paraId="1E0CF53A">
            <w:pPr>
              <w:spacing w:after="160" w:line="259" w:lineRule="auto"/>
              <w:rPr>
                <w:rFonts w:hint="default"/>
                <w:lang w:val="pt-BR"/>
              </w:rPr>
            </w:pPr>
            <w:r>
              <w:rPr>
                <w:rFonts w:hint="default"/>
                <w:lang w:val="pt-BR"/>
              </w:rPr>
              <w:t>81,0%</w:t>
            </w:r>
          </w:p>
        </w:tc>
      </w:tr>
    </w:tbl>
    <w:p w14:paraId="18B94204">
      <w:r>
        <w:t>Fonte: INEP – Censo Escolar da Educação Básica</w:t>
      </w:r>
    </w:p>
    <w:p w14:paraId="39465A14"/>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3"/>
        <w:gridCol w:w="6533"/>
        <w:gridCol w:w="89"/>
      </w:tblGrid>
      <w:tr w14:paraId="0197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3"/>
          </w:tcPr>
          <w:p w14:paraId="7FC1CB2E">
            <w:pPr>
              <w:jc w:val="center"/>
              <w:rPr>
                <w:rFonts w:hint="default"/>
                <w:b/>
                <w:bCs/>
                <w:vertAlign w:val="baseline"/>
                <w:lang w:val="pt-BR"/>
              </w:rPr>
            </w:pPr>
            <w:r>
              <w:rPr>
                <w:rFonts w:hint="default"/>
                <w:b/>
                <w:bCs/>
                <w:vertAlign w:val="baseline"/>
                <w:lang w:val="pt-BR"/>
              </w:rPr>
              <w:t>Ficha metodológica para o indicador 19C - base PNE</w:t>
            </w:r>
          </w:p>
        </w:tc>
      </w:tr>
      <w:tr w14:paraId="4407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tcBorders>
              <w:top w:val="outset" w:color="auto" w:sz="6" w:space="0"/>
              <w:left w:val="outset" w:color="auto" w:sz="6" w:space="0"/>
              <w:bottom w:val="outset" w:color="auto" w:sz="6" w:space="0"/>
              <w:right w:val="outset" w:color="auto" w:sz="6" w:space="0"/>
            </w:tcBorders>
          </w:tcPr>
          <w:p w14:paraId="06204E9B">
            <w:pPr>
              <w:spacing w:after="160" w:line="259" w:lineRule="auto"/>
              <w:rPr>
                <w:b/>
              </w:rPr>
            </w:pPr>
            <w:r>
              <w:rPr>
                <w:b/>
              </w:rPr>
              <w:t>Meta</w:t>
            </w:r>
          </w:p>
        </w:tc>
        <w:tc>
          <w:tcPr>
            <w:tcW w:w="6533" w:type="dxa"/>
            <w:tcBorders>
              <w:top w:val="outset" w:color="auto" w:sz="6" w:space="0"/>
              <w:left w:val="outset" w:color="auto" w:sz="6" w:space="0"/>
              <w:bottom w:val="outset" w:color="auto" w:sz="6" w:space="0"/>
              <w:right w:val="outset" w:color="auto" w:sz="6" w:space="0"/>
            </w:tcBorders>
          </w:tcPr>
          <w:p w14:paraId="2092AFD3">
            <w:pPr>
              <w:spacing w:after="160" w:line="259" w:lineRule="auto"/>
              <w:rPr>
                <w:b/>
              </w:rPr>
            </w:pPr>
            <w:r>
              <w:rPr>
                <w:b/>
              </w:rPr>
              <w:t>Texto da meta</w:t>
            </w:r>
          </w:p>
        </w:tc>
      </w:tr>
      <w:tr w14:paraId="1AF3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tcBorders>
              <w:top w:val="nil"/>
              <w:left w:val="outset" w:color="auto" w:sz="6" w:space="0"/>
              <w:bottom w:val="outset" w:color="auto" w:sz="6" w:space="0"/>
              <w:right w:val="outset" w:color="auto" w:sz="6" w:space="0"/>
            </w:tcBorders>
          </w:tcPr>
          <w:p w14:paraId="654F0CE6">
            <w:pPr>
              <w:spacing w:after="160" w:line="259" w:lineRule="auto"/>
            </w:pPr>
            <w:r>
              <w:t>19</w:t>
            </w:r>
          </w:p>
          <w:p w14:paraId="33F281E4">
            <w:pPr>
              <w:spacing w:after="160" w:line="259" w:lineRule="auto"/>
            </w:pPr>
          </w:p>
        </w:tc>
        <w:tc>
          <w:tcPr>
            <w:tcW w:w="6533" w:type="dxa"/>
            <w:tcBorders>
              <w:top w:val="nil"/>
              <w:left w:val="outset" w:color="auto" w:sz="6" w:space="0"/>
              <w:bottom w:val="outset" w:color="auto" w:sz="6" w:space="0"/>
              <w:right w:val="outset" w:color="auto" w:sz="6" w:space="0"/>
            </w:tcBorders>
          </w:tcPr>
          <w:p w14:paraId="42EFD320">
            <w:pPr>
              <w:spacing w:after="160" w:line="259" w:lineRule="auto"/>
              <w:jc w:val="both"/>
              <w:rPr>
                <w:i/>
              </w:rPr>
            </w:pPr>
            <w:r>
              <w:rPr>
                <w:bCs/>
              </w:rPr>
              <w:t>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tc>
      </w:tr>
      <w:tr w14:paraId="3DC8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tcBorders>
              <w:top w:val="outset" w:color="auto" w:sz="6" w:space="0"/>
              <w:left w:val="outset" w:color="auto" w:sz="6" w:space="0"/>
              <w:bottom w:val="outset" w:color="auto" w:sz="6" w:space="0"/>
              <w:right w:val="outset" w:color="auto" w:sz="6" w:space="0"/>
            </w:tcBorders>
          </w:tcPr>
          <w:p w14:paraId="198E4FD0">
            <w:pPr>
              <w:spacing w:after="160" w:line="259" w:lineRule="auto"/>
              <w:rPr>
                <w:rFonts w:hint="default"/>
                <w:lang w:val="pt-BR"/>
              </w:rPr>
            </w:pPr>
            <w:r>
              <w:t xml:space="preserve">Indicador </w:t>
            </w:r>
            <w:r>
              <w:rPr>
                <w:rFonts w:hint="default"/>
                <w:lang w:val="pt-BR"/>
              </w:rPr>
              <w:t>19C Nacional</w:t>
            </w:r>
          </w:p>
        </w:tc>
        <w:tc>
          <w:tcPr>
            <w:tcW w:w="6533" w:type="dxa"/>
            <w:tcBorders>
              <w:top w:val="outset" w:color="auto" w:sz="6" w:space="0"/>
              <w:left w:val="outset" w:color="auto" w:sz="6" w:space="0"/>
              <w:bottom w:val="outset" w:color="auto" w:sz="6" w:space="0"/>
              <w:right w:val="outset" w:color="auto" w:sz="6" w:space="0"/>
            </w:tcBorders>
          </w:tcPr>
          <w:p w14:paraId="4490FE25">
            <w:pPr>
              <w:spacing w:after="160" w:line="259" w:lineRule="auto"/>
              <w:jc w:val="both"/>
            </w:pPr>
            <w:r>
              <w:t>Percentual de existência de colegiados extraescolares (Conselho Estadual de Educação, Conselhos de Acompanhamento e Controle Social do Fundeb, Conselhos de Alimentação Escolar e Fórum Permanente de Educação) nas unidades federativas</w:t>
            </w:r>
          </w:p>
        </w:tc>
      </w:tr>
      <w:tr w14:paraId="436D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tcBorders>
              <w:top w:val="outset" w:color="auto" w:sz="6" w:space="0"/>
              <w:left w:val="outset" w:color="auto" w:sz="6" w:space="0"/>
              <w:bottom w:val="outset" w:color="auto" w:sz="6" w:space="0"/>
              <w:right w:val="outset" w:color="auto" w:sz="6" w:space="0"/>
            </w:tcBorders>
          </w:tcPr>
          <w:p w14:paraId="767E3B84">
            <w:pPr>
              <w:spacing w:after="160" w:line="259" w:lineRule="auto"/>
              <w:rPr>
                <w:rFonts w:hint="default"/>
                <w:lang w:val="pt-BR"/>
              </w:rPr>
            </w:pPr>
            <w:r>
              <w:rPr>
                <w:rFonts w:hint="default"/>
                <w:lang w:val="pt-BR"/>
              </w:rPr>
              <w:t>Indicador 19C Proposto</w:t>
            </w:r>
          </w:p>
        </w:tc>
        <w:tc>
          <w:tcPr>
            <w:tcW w:w="6533" w:type="dxa"/>
            <w:tcBorders>
              <w:top w:val="outset" w:color="auto" w:sz="6" w:space="0"/>
              <w:left w:val="outset" w:color="auto" w:sz="6" w:space="0"/>
              <w:bottom w:val="outset" w:color="auto" w:sz="6" w:space="0"/>
              <w:right w:val="outset" w:color="auto" w:sz="6" w:space="0"/>
            </w:tcBorders>
          </w:tcPr>
          <w:p w14:paraId="2DF24798">
            <w:pPr>
              <w:spacing w:after="160" w:line="259" w:lineRule="auto"/>
              <w:jc w:val="both"/>
              <w:rPr>
                <w:rFonts w:hint="default"/>
                <w:lang w:val="pt-BR"/>
              </w:rPr>
            </w:pPr>
            <w:r>
              <w:rPr>
                <w:rFonts w:hint="default"/>
                <w:lang w:val="pt-BR"/>
              </w:rPr>
              <w:t>Nenhum</w:t>
            </w:r>
          </w:p>
        </w:tc>
      </w:tr>
      <w:tr w14:paraId="1DC0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tcBorders>
              <w:top w:val="nil"/>
              <w:left w:val="outset" w:color="auto" w:sz="6" w:space="0"/>
              <w:bottom w:val="outset" w:color="auto" w:sz="6" w:space="0"/>
              <w:right w:val="outset" w:color="auto" w:sz="6" w:space="0"/>
            </w:tcBorders>
          </w:tcPr>
          <w:p w14:paraId="65F96080">
            <w:pPr>
              <w:spacing w:after="160" w:line="259" w:lineRule="auto"/>
            </w:pPr>
            <w:r>
              <w:t>Fórmula de cálculo</w:t>
            </w:r>
          </w:p>
        </w:tc>
        <w:tc>
          <w:tcPr>
            <w:tcW w:w="6533" w:type="dxa"/>
            <w:tcBorders>
              <w:top w:val="nil"/>
              <w:left w:val="outset" w:color="auto" w:sz="6" w:space="0"/>
              <w:bottom w:val="outset" w:color="auto" w:sz="6" w:space="0"/>
              <w:right w:val="outset" w:color="auto" w:sz="6" w:space="0"/>
            </w:tcBorders>
          </w:tcPr>
          <w:p w14:paraId="71853893">
            <w:pPr>
              <w:spacing w:after="160" w:line="259" w:lineRule="auto"/>
              <w:jc w:val="both"/>
            </w:pPr>
            <w:r>
              <w:t>(Quantidade de órgãos colegiados extraescolares (Conselhos Estaduais de Educação, Conselhos de Controle e Acompanhamento Social do Fundeb, Conselhos de Alimentação Escolar e Fóruns Permanentes de Educação) existentes nas unidades federativas / Quantidade máxima possível dos órgãos colegiados extraescolares (Conselhos Estaduais de Educação, Conselhos de Controle e Acompanhamento Social do Fundeb, Conselhos de Alimentação Escolar e Fóruns Permanentes de Educação) nas unidades federativas) x 100</w:t>
            </w:r>
          </w:p>
        </w:tc>
      </w:tr>
      <w:tr w14:paraId="7B20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tcBorders>
              <w:top w:val="nil"/>
              <w:left w:val="outset" w:color="auto" w:sz="6" w:space="0"/>
              <w:bottom w:val="outset" w:color="auto" w:sz="6" w:space="0"/>
              <w:right w:val="outset" w:color="auto" w:sz="6" w:space="0"/>
            </w:tcBorders>
          </w:tcPr>
          <w:p w14:paraId="34F5DD7B">
            <w:pPr>
              <w:spacing w:after="160" w:line="259" w:lineRule="auto"/>
            </w:pPr>
            <w:r>
              <w:t>Comentário</w:t>
            </w:r>
          </w:p>
          <w:p w14:paraId="40780B7F">
            <w:pPr>
              <w:spacing w:after="160" w:line="259" w:lineRule="auto"/>
            </w:pPr>
          </w:p>
        </w:tc>
        <w:tc>
          <w:tcPr>
            <w:tcW w:w="6533" w:type="dxa"/>
            <w:tcBorders>
              <w:top w:val="nil"/>
              <w:left w:val="outset" w:color="auto" w:sz="6" w:space="0"/>
              <w:bottom w:val="outset" w:color="auto" w:sz="6" w:space="0"/>
              <w:right w:val="outset" w:color="auto" w:sz="6" w:space="0"/>
            </w:tcBorders>
          </w:tcPr>
          <w:p w14:paraId="296416D0">
            <w:pPr>
              <w:spacing w:after="160" w:line="259" w:lineRule="auto"/>
              <w:jc w:val="both"/>
            </w:pPr>
            <w:r>
              <w:t>Não se aplica a municípios. Esse indicador se refere à situação nos estados da federação</w:t>
            </w:r>
          </w:p>
        </w:tc>
      </w:tr>
    </w:tbl>
    <w:p w14:paraId="459EDC43">
      <w:r>
        <w:t xml:space="preserve"> </w:t>
      </w: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8"/>
        <w:gridCol w:w="5"/>
        <w:gridCol w:w="6533"/>
        <w:gridCol w:w="89"/>
      </w:tblGrid>
      <w:tr w14:paraId="43C9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3666995A">
            <w:pPr>
              <w:jc w:val="center"/>
              <w:rPr>
                <w:rFonts w:hint="default"/>
                <w:b/>
                <w:bCs/>
                <w:vertAlign w:val="baseline"/>
                <w:lang w:val="pt-BR"/>
              </w:rPr>
            </w:pPr>
            <w:r>
              <w:rPr>
                <w:rFonts w:hint="default"/>
                <w:b/>
                <w:bCs/>
                <w:vertAlign w:val="baseline"/>
                <w:lang w:val="pt-BR"/>
              </w:rPr>
              <w:t>Ficha metodológica para o indicador 19D - base PNE</w:t>
            </w:r>
          </w:p>
        </w:tc>
      </w:tr>
      <w:tr w14:paraId="3DC7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gridSpan w:val="2"/>
            <w:tcBorders>
              <w:top w:val="outset" w:color="auto" w:sz="6" w:space="0"/>
              <w:left w:val="outset" w:color="auto" w:sz="6" w:space="0"/>
              <w:bottom w:val="outset" w:color="auto" w:sz="6" w:space="0"/>
              <w:right w:val="outset" w:color="auto" w:sz="6" w:space="0"/>
            </w:tcBorders>
          </w:tcPr>
          <w:p w14:paraId="6DC9C450">
            <w:pPr>
              <w:spacing w:after="160" w:line="259" w:lineRule="auto"/>
              <w:rPr>
                <w:b/>
              </w:rPr>
            </w:pPr>
            <w:r>
              <w:rPr>
                <w:b/>
              </w:rPr>
              <w:t>Meta</w:t>
            </w:r>
          </w:p>
        </w:tc>
        <w:tc>
          <w:tcPr>
            <w:tcW w:w="6533" w:type="dxa"/>
            <w:tcBorders>
              <w:top w:val="outset" w:color="auto" w:sz="6" w:space="0"/>
              <w:left w:val="outset" w:color="auto" w:sz="6" w:space="0"/>
              <w:bottom w:val="outset" w:color="auto" w:sz="6" w:space="0"/>
              <w:right w:val="outset" w:color="auto" w:sz="6" w:space="0"/>
            </w:tcBorders>
          </w:tcPr>
          <w:p w14:paraId="0DDCCB44">
            <w:pPr>
              <w:spacing w:after="160" w:line="259" w:lineRule="auto"/>
              <w:rPr>
                <w:b/>
              </w:rPr>
            </w:pPr>
            <w:r>
              <w:rPr>
                <w:b/>
              </w:rPr>
              <w:t>Texto da meta</w:t>
            </w:r>
          </w:p>
        </w:tc>
      </w:tr>
      <w:tr w14:paraId="4EFD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gridSpan w:val="2"/>
            <w:tcBorders>
              <w:top w:val="nil"/>
              <w:left w:val="outset" w:color="auto" w:sz="6" w:space="0"/>
              <w:bottom w:val="outset" w:color="auto" w:sz="6" w:space="0"/>
              <w:right w:val="outset" w:color="auto" w:sz="6" w:space="0"/>
            </w:tcBorders>
          </w:tcPr>
          <w:p w14:paraId="77A3FC00">
            <w:pPr>
              <w:spacing w:after="160" w:line="259" w:lineRule="auto"/>
            </w:pPr>
            <w:r>
              <w:t>19</w:t>
            </w:r>
          </w:p>
          <w:p w14:paraId="74A20ABE">
            <w:pPr>
              <w:spacing w:after="160" w:line="259" w:lineRule="auto"/>
            </w:pPr>
          </w:p>
        </w:tc>
        <w:tc>
          <w:tcPr>
            <w:tcW w:w="6533" w:type="dxa"/>
            <w:tcBorders>
              <w:top w:val="nil"/>
              <w:left w:val="outset" w:color="auto" w:sz="6" w:space="0"/>
              <w:bottom w:val="outset" w:color="auto" w:sz="6" w:space="0"/>
              <w:right w:val="outset" w:color="auto" w:sz="6" w:space="0"/>
            </w:tcBorders>
          </w:tcPr>
          <w:p w14:paraId="4DDA406B">
            <w:pPr>
              <w:spacing w:after="160" w:line="259" w:lineRule="auto"/>
              <w:jc w:val="both"/>
              <w:rPr>
                <w:i/>
              </w:rPr>
            </w:pPr>
            <w:r>
              <w:rPr>
                <w:bCs/>
              </w:rPr>
              <w:t>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tc>
      </w:tr>
      <w:tr w14:paraId="5A58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498" w:type="dxa"/>
            <w:tcBorders>
              <w:top w:val="outset" w:color="auto" w:sz="6" w:space="0"/>
              <w:left w:val="outset" w:color="auto" w:sz="6" w:space="0"/>
              <w:bottom w:val="outset" w:color="auto" w:sz="6" w:space="0"/>
              <w:right w:val="outset" w:color="auto" w:sz="6" w:space="0"/>
            </w:tcBorders>
          </w:tcPr>
          <w:p w14:paraId="12466842">
            <w:pPr>
              <w:spacing w:after="160" w:line="259" w:lineRule="auto"/>
              <w:rPr>
                <w:rFonts w:hint="default"/>
                <w:lang w:val="pt-BR"/>
              </w:rPr>
            </w:pPr>
            <w:r>
              <w:t xml:space="preserve">Indicador </w:t>
            </w:r>
            <w:r>
              <w:rPr>
                <w:rFonts w:hint="default"/>
                <w:lang w:val="pt-BR"/>
              </w:rPr>
              <w:t>19D Nacional</w:t>
            </w:r>
          </w:p>
        </w:tc>
        <w:tc>
          <w:tcPr>
            <w:tcW w:w="6538" w:type="dxa"/>
            <w:gridSpan w:val="2"/>
            <w:tcBorders>
              <w:top w:val="outset" w:color="auto" w:sz="6" w:space="0"/>
              <w:left w:val="outset" w:color="auto" w:sz="6" w:space="0"/>
              <w:bottom w:val="outset" w:color="auto" w:sz="6" w:space="0"/>
              <w:right w:val="outset" w:color="auto" w:sz="6" w:space="0"/>
            </w:tcBorders>
          </w:tcPr>
          <w:p w14:paraId="31FF7533">
            <w:pPr>
              <w:spacing w:after="160" w:line="259" w:lineRule="auto"/>
              <w:jc w:val="both"/>
              <w:rPr>
                <w:b/>
              </w:rPr>
            </w:pPr>
            <w:r>
              <w:t>Percentual de oferta de infraestrutura e capacitação aos membros dos Conselhos Estaduais de Educação, Conselhos de Acompanhamento e Controle Social do Fundeb e Conselhos de Alimentação Escolar pelas unidades federativas</w:t>
            </w:r>
          </w:p>
        </w:tc>
      </w:tr>
      <w:tr w14:paraId="3C0F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498" w:type="dxa"/>
            <w:tcBorders>
              <w:top w:val="outset" w:color="auto" w:sz="6" w:space="0"/>
              <w:left w:val="outset" w:color="auto" w:sz="6" w:space="0"/>
              <w:bottom w:val="outset" w:color="auto" w:sz="6" w:space="0"/>
              <w:right w:val="outset" w:color="auto" w:sz="6" w:space="0"/>
            </w:tcBorders>
          </w:tcPr>
          <w:p w14:paraId="393EC005">
            <w:pPr>
              <w:spacing w:after="160" w:line="259" w:lineRule="auto"/>
              <w:rPr>
                <w:rFonts w:hint="default"/>
                <w:lang w:val="pt-BR"/>
              </w:rPr>
            </w:pPr>
            <w:r>
              <w:rPr>
                <w:rFonts w:hint="default"/>
                <w:lang w:val="pt-BR"/>
              </w:rPr>
              <w:t>Indicador 19D Proposto</w:t>
            </w:r>
          </w:p>
        </w:tc>
        <w:tc>
          <w:tcPr>
            <w:tcW w:w="6538" w:type="dxa"/>
            <w:gridSpan w:val="2"/>
            <w:tcBorders>
              <w:top w:val="outset" w:color="auto" w:sz="6" w:space="0"/>
              <w:left w:val="outset" w:color="auto" w:sz="6" w:space="0"/>
              <w:bottom w:val="outset" w:color="auto" w:sz="6" w:space="0"/>
              <w:right w:val="outset" w:color="auto" w:sz="6" w:space="0"/>
            </w:tcBorders>
          </w:tcPr>
          <w:p w14:paraId="17EF5884">
            <w:pPr>
              <w:spacing w:after="160" w:line="259" w:lineRule="auto"/>
              <w:jc w:val="both"/>
              <w:rPr>
                <w:rFonts w:hint="default"/>
                <w:lang w:val="pt-BR"/>
              </w:rPr>
            </w:pPr>
            <w:r>
              <w:rPr>
                <w:rFonts w:hint="default"/>
                <w:lang w:val="pt-BR"/>
              </w:rPr>
              <w:t>Nenhum</w:t>
            </w:r>
          </w:p>
        </w:tc>
      </w:tr>
      <w:tr w14:paraId="744E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498" w:type="dxa"/>
            <w:tcBorders>
              <w:top w:val="nil"/>
              <w:left w:val="outset" w:color="auto" w:sz="6" w:space="0"/>
              <w:bottom w:val="outset" w:color="auto" w:sz="6" w:space="0"/>
              <w:right w:val="outset" w:color="auto" w:sz="6" w:space="0"/>
            </w:tcBorders>
          </w:tcPr>
          <w:p w14:paraId="47FF16FC">
            <w:pPr>
              <w:spacing w:after="160" w:line="259" w:lineRule="auto"/>
            </w:pPr>
            <w:r>
              <w:t>Fórmula de cálculo</w:t>
            </w:r>
          </w:p>
        </w:tc>
        <w:tc>
          <w:tcPr>
            <w:tcW w:w="6538" w:type="dxa"/>
            <w:gridSpan w:val="2"/>
            <w:tcBorders>
              <w:top w:val="nil"/>
              <w:left w:val="outset" w:color="auto" w:sz="6" w:space="0"/>
              <w:bottom w:val="outset" w:color="auto" w:sz="6" w:space="0"/>
              <w:right w:val="outset" w:color="auto" w:sz="6" w:space="0"/>
            </w:tcBorders>
          </w:tcPr>
          <w:p w14:paraId="5E2B5DEC">
            <w:pPr>
              <w:spacing w:after="160" w:line="259" w:lineRule="auto"/>
              <w:jc w:val="both"/>
            </w:pPr>
            <w:r>
              <w:t>(Quantidade de órgãos colegiados extraescolares (Conselhos Estaduais de Educação, Conselhos de Controle e Acompanhamento Social do Fundeb, Conselhos de Alimentação Escolar e Fóruns Permanentes de Educação) existentes nas unidades federativas / Quantidade máxima possível dos órgãos colegiados extraescolares (Conselhos Estaduais de Educação, Conselhos de Controle e Acompanhamento Social do Fundeb, Conselhos de Alimentação Escolar e Fóruns Permanentes de Educação) nas unidades federativas) x 100</w:t>
            </w:r>
          </w:p>
        </w:tc>
      </w:tr>
      <w:tr w14:paraId="4C5B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498" w:type="dxa"/>
            <w:tcBorders>
              <w:top w:val="nil"/>
              <w:left w:val="outset" w:color="auto" w:sz="6" w:space="0"/>
              <w:bottom w:val="outset" w:color="auto" w:sz="6" w:space="0"/>
              <w:right w:val="outset" w:color="auto" w:sz="6" w:space="0"/>
            </w:tcBorders>
          </w:tcPr>
          <w:p w14:paraId="3270C3EB">
            <w:pPr>
              <w:spacing w:after="160" w:line="259" w:lineRule="auto"/>
            </w:pPr>
            <w:r>
              <w:t>Comentário</w:t>
            </w:r>
          </w:p>
          <w:p w14:paraId="3DCE7E6B">
            <w:pPr>
              <w:spacing w:after="160" w:line="259" w:lineRule="auto"/>
            </w:pPr>
          </w:p>
        </w:tc>
        <w:tc>
          <w:tcPr>
            <w:tcW w:w="6538" w:type="dxa"/>
            <w:gridSpan w:val="2"/>
            <w:tcBorders>
              <w:top w:val="nil"/>
              <w:left w:val="outset" w:color="auto" w:sz="6" w:space="0"/>
              <w:bottom w:val="outset" w:color="auto" w:sz="6" w:space="0"/>
              <w:right w:val="outset" w:color="auto" w:sz="6" w:space="0"/>
            </w:tcBorders>
          </w:tcPr>
          <w:p w14:paraId="2BA88FFE">
            <w:pPr>
              <w:spacing w:after="160" w:line="259" w:lineRule="auto"/>
              <w:jc w:val="both"/>
            </w:pPr>
            <w:r>
              <w:t>Não se aplica a municípios. Esse indicador se refere à situação nos estados da federação</w:t>
            </w:r>
          </w:p>
        </w:tc>
      </w:tr>
    </w:tbl>
    <w:p w14:paraId="61C74C97">
      <w:r>
        <w:t xml:space="preserve"> </w:t>
      </w: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0"/>
        <w:gridCol w:w="3"/>
        <w:gridCol w:w="6533"/>
        <w:gridCol w:w="89"/>
      </w:tblGrid>
      <w:tr w14:paraId="4C30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7D933E79">
            <w:pPr>
              <w:jc w:val="center"/>
              <w:rPr>
                <w:rFonts w:hint="default"/>
                <w:b/>
                <w:bCs/>
                <w:vertAlign w:val="baseline"/>
                <w:lang w:val="pt-BR"/>
              </w:rPr>
            </w:pPr>
            <w:r>
              <w:rPr>
                <w:rFonts w:hint="default"/>
                <w:b/>
                <w:bCs/>
                <w:vertAlign w:val="baseline"/>
                <w:lang w:val="pt-BR"/>
              </w:rPr>
              <w:t>Ficha metodológica para o indicador 19E - base PNE</w:t>
            </w:r>
          </w:p>
        </w:tc>
      </w:tr>
      <w:tr w14:paraId="6731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gridSpan w:val="2"/>
            <w:tcBorders>
              <w:top w:val="outset" w:color="auto" w:sz="6" w:space="0"/>
              <w:left w:val="outset" w:color="auto" w:sz="6" w:space="0"/>
              <w:bottom w:val="outset" w:color="auto" w:sz="6" w:space="0"/>
              <w:right w:val="outset" w:color="auto" w:sz="6" w:space="0"/>
            </w:tcBorders>
          </w:tcPr>
          <w:p w14:paraId="3592A7A7">
            <w:pPr>
              <w:spacing w:after="160" w:line="259" w:lineRule="auto"/>
              <w:rPr>
                <w:b/>
              </w:rPr>
            </w:pPr>
            <w:r>
              <w:rPr>
                <w:b/>
              </w:rPr>
              <w:t>Meta</w:t>
            </w:r>
          </w:p>
        </w:tc>
        <w:tc>
          <w:tcPr>
            <w:tcW w:w="6533" w:type="dxa"/>
            <w:tcBorders>
              <w:top w:val="outset" w:color="auto" w:sz="6" w:space="0"/>
              <w:left w:val="outset" w:color="auto" w:sz="6" w:space="0"/>
              <w:bottom w:val="outset" w:color="auto" w:sz="6" w:space="0"/>
              <w:right w:val="outset" w:color="auto" w:sz="6" w:space="0"/>
            </w:tcBorders>
          </w:tcPr>
          <w:p w14:paraId="00885EBF">
            <w:pPr>
              <w:spacing w:after="160" w:line="259" w:lineRule="auto"/>
              <w:rPr>
                <w:b/>
              </w:rPr>
            </w:pPr>
            <w:r>
              <w:rPr>
                <w:b/>
              </w:rPr>
              <w:t>Texto da meta</w:t>
            </w:r>
          </w:p>
        </w:tc>
      </w:tr>
      <w:tr w14:paraId="59E0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gridSpan w:val="2"/>
            <w:tcBorders>
              <w:top w:val="nil"/>
              <w:left w:val="outset" w:color="auto" w:sz="6" w:space="0"/>
              <w:bottom w:val="outset" w:color="auto" w:sz="6" w:space="0"/>
              <w:right w:val="outset" w:color="auto" w:sz="6" w:space="0"/>
            </w:tcBorders>
          </w:tcPr>
          <w:p w14:paraId="52C53689">
            <w:pPr>
              <w:spacing w:after="160" w:line="259" w:lineRule="auto"/>
            </w:pPr>
            <w:r>
              <w:t>19</w:t>
            </w:r>
          </w:p>
          <w:p w14:paraId="506A044F">
            <w:pPr>
              <w:spacing w:after="160" w:line="259" w:lineRule="auto"/>
            </w:pPr>
          </w:p>
        </w:tc>
        <w:tc>
          <w:tcPr>
            <w:tcW w:w="6533" w:type="dxa"/>
            <w:tcBorders>
              <w:top w:val="nil"/>
              <w:left w:val="outset" w:color="auto" w:sz="6" w:space="0"/>
              <w:bottom w:val="outset" w:color="auto" w:sz="6" w:space="0"/>
              <w:right w:val="outset" w:color="auto" w:sz="6" w:space="0"/>
            </w:tcBorders>
          </w:tcPr>
          <w:p w14:paraId="1BCCFF95">
            <w:pPr>
              <w:spacing w:after="160" w:line="259" w:lineRule="auto"/>
              <w:jc w:val="both"/>
              <w:rPr>
                <w:i/>
              </w:rPr>
            </w:pPr>
            <w:r>
              <w:rPr>
                <w:bCs/>
              </w:rPr>
              <w:t>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tc>
      </w:tr>
      <w:tr w14:paraId="6492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0" w:type="dxa"/>
            <w:tcBorders>
              <w:top w:val="outset" w:color="auto" w:sz="6" w:space="0"/>
              <w:left w:val="outset" w:color="auto" w:sz="6" w:space="0"/>
              <w:bottom w:val="outset" w:color="auto" w:sz="6" w:space="0"/>
              <w:right w:val="outset" w:color="auto" w:sz="6" w:space="0"/>
            </w:tcBorders>
          </w:tcPr>
          <w:p w14:paraId="05E3A7B7">
            <w:pPr>
              <w:spacing w:after="160" w:line="259" w:lineRule="auto"/>
              <w:rPr>
                <w:rFonts w:hint="default"/>
                <w:lang w:val="pt-BR"/>
              </w:rPr>
            </w:pPr>
            <w:r>
              <w:t xml:space="preserve">Indicador </w:t>
            </w:r>
            <w:r>
              <w:rPr>
                <w:rFonts w:hint="default"/>
                <w:lang w:val="pt-BR"/>
              </w:rPr>
              <w:t>19E Nacional</w:t>
            </w:r>
          </w:p>
        </w:tc>
        <w:tc>
          <w:tcPr>
            <w:tcW w:w="6536" w:type="dxa"/>
            <w:gridSpan w:val="2"/>
            <w:tcBorders>
              <w:top w:val="outset" w:color="auto" w:sz="6" w:space="0"/>
              <w:left w:val="outset" w:color="auto" w:sz="6" w:space="0"/>
              <w:bottom w:val="outset" w:color="auto" w:sz="6" w:space="0"/>
              <w:right w:val="outset" w:color="auto" w:sz="6" w:space="0"/>
            </w:tcBorders>
          </w:tcPr>
          <w:p w14:paraId="0C316ED3">
            <w:pPr>
              <w:spacing w:after="160" w:line="259" w:lineRule="auto"/>
              <w:jc w:val="both"/>
            </w:pPr>
            <w:r>
              <w:t>Percentual de existência de colegiados extraescolares (Conselho Municipal de Educação, Conselhos de Acompanhamento e Controle Social do Fundeb, Conselhos de Alimentação Escolar e Fórum Permanente de Educação) nos municípios</w:t>
            </w:r>
          </w:p>
        </w:tc>
      </w:tr>
      <w:tr w14:paraId="1BB6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0" w:type="dxa"/>
            <w:tcBorders>
              <w:top w:val="outset" w:color="auto" w:sz="6" w:space="0"/>
              <w:left w:val="outset" w:color="auto" w:sz="6" w:space="0"/>
              <w:bottom w:val="outset" w:color="auto" w:sz="6" w:space="0"/>
              <w:right w:val="outset" w:color="auto" w:sz="6" w:space="0"/>
            </w:tcBorders>
          </w:tcPr>
          <w:p w14:paraId="5B0DA61C">
            <w:pPr>
              <w:spacing w:after="160" w:line="259" w:lineRule="auto"/>
              <w:rPr>
                <w:rFonts w:hint="default"/>
                <w:lang w:val="pt-BR"/>
              </w:rPr>
            </w:pPr>
            <w:r>
              <w:rPr>
                <w:rFonts w:hint="default"/>
                <w:lang w:val="pt-BR"/>
              </w:rPr>
              <w:t>Indicador 19E Proposto</w:t>
            </w:r>
          </w:p>
        </w:tc>
        <w:tc>
          <w:tcPr>
            <w:tcW w:w="6536" w:type="dxa"/>
            <w:gridSpan w:val="2"/>
            <w:tcBorders>
              <w:top w:val="outset" w:color="auto" w:sz="6" w:space="0"/>
              <w:left w:val="outset" w:color="auto" w:sz="6" w:space="0"/>
              <w:bottom w:val="outset" w:color="auto" w:sz="6" w:space="0"/>
              <w:right w:val="outset" w:color="auto" w:sz="6" w:space="0"/>
            </w:tcBorders>
          </w:tcPr>
          <w:p w14:paraId="39A2B87D">
            <w:pPr>
              <w:spacing w:after="160" w:line="259" w:lineRule="auto"/>
              <w:jc w:val="both"/>
              <w:rPr>
                <w:rFonts w:hint="default"/>
                <w:lang w:val="pt-BR"/>
              </w:rPr>
            </w:pPr>
            <w:r>
              <w:rPr>
                <w:rFonts w:hint="default"/>
                <w:lang w:val="pt-BR"/>
              </w:rPr>
              <w:t>Replicar o Nacional</w:t>
            </w:r>
          </w:p>
        </w:tc>
      </w:tr>
      <w:tr w14:paraId="2159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0" w:type="dxa"/>
            <w:tcBorders>
              <w:top w:val="nil"/>
              <w:left w:val="outset" w:color="auto" w:sz="6" w:space="0"/>
              <w:bottom w:val="outset" w:color="auto" w:sz="6" w:space="0"/>
              <w:right w:val="outset" w:color="auto" w:sz="6" w:space="0"/>
            </w:tcBorders>
          </w:tcPr>
          <w:p w14:paraId="5CCEB73B">
            <w:pPr>
              <w:spacing w:after="160" w:line="259" w:lineRule="auto"/>
            </w:pPr>
            <w:r>
              <w:t>Fórmula de cálculo</w:t>
            </w:r>
          </w:p>
        </w:tc>
        <w:tc>
          <w:tcPr>
            <w:tcW w:w="6536" w:type="dxa"/>
            <w:gridSpan w:val="2"/>
            <w:tcBorders>
              <w:top w:val="nil"/>
              <w:left w:val="outset" w:color="auto" w:sz="6" w:space="0"/>
              <w:bottom w:val="outset" w:color="auto" w:sz="6" w:space="0"/>
              <w:right w:val="outset" w:color="auto" w:sz="6" w:space="0"/>
            </w:tcBorders>
          </w:tcPr>
          <w:p w14:paraId="673A708E">
            <w:pPr>
              <w:spacing w:after="160" w:line="259" w:lineRule="auto"/>
              <w:jc w:val="both"/>
            </w:pPr>
            <w:r>
              <w:t>(Quantidade de órgãos colegiados extraescolares (Conselhos Municipais de Educação, Conselhos de Controle e Acompanhamento Social do Fundeb, Conselhos de Alimentação Escolar e Fóruns Permanentes de Educação) existentes no município / Quantidade máxima possível dos órgãos colegiados extraescolares (Conselhos Municipais de Educação, Conselhos de Controle e Acompanhamento Social do Fundeb, Conselhos de Alimentação Escolar e Fóruns Permanentes de Educação) nos municípios) x 100</w:t>
            </w:r>
          </w:p>
        </w:tc>
      </w:tr>
      <w:tr w14:paraId="4C29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0" w:type="dxa"/>
            <w:tcBorders>
              <w:top w:val="nil"/>
              <w:left w:val="outset" w:color="auto" w:sz="6" w:space="0"/>
              <w:bottom w:val="outset" w:color="auto" w:sz="6" w:space="0"/>
              <w:right w:val="outset" w:color="auto" w:sz="6" w:space="0"/>
            </w:tcBorders>
          </w:tcPr>
          <w:p w14:paraId="02DF821B">
            <w:pPr>
              <w:spacing w:after="160" w:line="259" w:lineRule="auto"/>
            </w:pPr>
            <w:r>
              <w:t>Comentário</w:t>
            </w:r>
          </w:p>
        </w:tc>
        <w:tc>
          <w:tcPr>
            <w:tcW w:w="6536" w:type="dxa"/>
            <w:gridSpan w:val="2"/>
            <w:tcBorders>
              <w:top w:val="nil"/>
              <w:left w:val="outset" w:color="auto" w:sz="6" w:space="0"/>
              <w:bottom w:val="outset" w:color="auto" w:sz="6" w:space="0"/>
              <w:right w:val="outset" w:color="auto" w:sz="6" w:space="0"/>
            </w:tcBorders>
          </w:tcPr>
          <w:p w14:paraId="56688D65">
            <w:pPr>
              <w:spacing w:after="160" w:line="259" w:lineRule="auto"/>
              <w:jc w:val="both"/>
            </w:pPr>
            <w:r>
              <w:t xml:space="preserve">Incluído conforme Relatório do 3º Ciclo de Monitoramento das Metas do Plano Nacional de Educação – 2020 (INEP). </w:t>
            </w:r>
            <w:r>
              <w:rPr>
                <w:b/>
              </w:rPr>
              <w:t>* Porém, O indicador 19E não foi atualizado EM 2021 porque o IBGE não publicou novas informações depois de 2018 sobre quantidade de órgãos colegiados extraescolares (Conselhos Municipais de Educação, Conselhos de Controle e Acompanhamento Social do Fundeb, Conselhos de Alimentação Escolar e Fóruns Permanentes de Educação) no município. Dessa forma, para os municípios, a série histórica fica interrompida em 2021 por falta de dados</w:t>
            </w:r>
          </w:p>
        </w:tc>
      </w:tr>
    </w:tbl>
    <w:p w14:paraId="68976B7A">
      <w:r>
        <w:t xml:space="preserve"> </w:t>
      </w:r>
    </w:p>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965"/>
        <w:gridCol w:w="1965"/>
        <w:gridCol w:w="3930"/>
      </w:tblGrid>
      <w:tr w14:paraId="60F5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0" w:type="dxa"/>
            <w:gridSpan w:val="4"/>
          </w:tcPr>
          <w:p w14:paraId="5CE0925A">
            <w:pPr>
              <w:jc w:val="center"/>
              <w:rPr>
                <w:rFonts w:hint="default"/>
                <w:b/>
                <w:bCs/>
                <w:vertAlign w:val="baseline"/>
                <w:lang w:val="pt-BR"/>
              </w:rPr>
            </w:pPr>
            <w:r>
              <w:rPr>
                <w:rFonts w:hint="default"/>
                <w:b/>
                <w:bCs/>
                <w:vertAlign w:val="baseline"/>
                <w:lang w:val="pt-BR"/>
              </w:rPr>
              <w:t>Dados/Indicadores: Indicador 19E</w:t>
            </w:r>
          </w:p>
        </w:tc>
      </w:tr>
      <w:tr w14:paraId="24DB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930" w:type="dxa"/>
        </w:trPr>
        <w:tc>
          <w:tcPr>
            <w:tcW w:w="2010" w:type="dxa"/>
            <w:tcBorders>
              <w:top w:val="outset" w:color="auto" w:sz="6" w:space="0"/>
              <w:left w:val="outset" w:color="auto" w:sz="6" w:space="0"/>
              <w:bottom w:val="outset" w:color="auto" w:sz="6" w:space="0"/>
              <w:right w:val="outset" w:color="auto" w:sz="6" w:space="0"/>
            </w:tcBorders>
          </w:tcPr>
          <w:p w14:paraId="01C36755">
            <w:pPr>
              <w:spacing w:after="160" w:line="259" w:lineRule="auto"/>
              <w:rPr>
                <w:rFonts w:hint="default"/>
                <w:lang w:val="pt-BR"/>
              </w:rPr>
            </w:pPr>
            <w:r>
              <w:rPr>
                <w:rFonts w:hint="default"/>
                <w:lang w:val="pt-BR"/>
              </w:rPr>
              <w:t>Ano</w:t>
            </w:r>
          </w:p>
        </w:tc>
        <w:tc>
          <w:tcPr>
            <w:tcW w:w="1965" w:type="dxa"/>
            <w:tcBorders>
              <w:top w:val="outset" w:color="auto" w:sz="6" w:space="0"/>
              <w:left w:val="outset" w:color="auto" w:sz="6" w:space="0"/>
              <w:bottom w:val="outset" w:color="auto" w:sz="6" w:space="0"/>
              <w:right w:val="outset" w:color="auto" w:sz="6" w:space="0"/>
            </w:tcBorders>
          </w:tcPr>
          <w:p w14:paraId="60D375B6">
            <w:pPr>
              <w:spacing w:after="160" w:line="259" w:lineRule="auto"/>
            </w:pPr>
            <w:r>
              <w:t>2018</w:t>
            </w:r>
          </w:p>
        </w:tc>
        <w:tc>
          <w:tcPr>
            <w:tcW w:w="1965" w:type="dxa"/>
            <w:tcBorders>
              <w:top w:val="outset" w:color="auto" w:sz="6" w:space="0"/>
              <w:left w:val="outset" w:color="auto" w:sz="6" w:space="0"/>
              <w:bottom w:val="outset" w:color="auto" w:sz="6" w:space="0"/>
              <w:right w:val="outset" w:color="auto" w:sz="6" w:space="0"/>
            </w:tcBorders>
          </w:tcPr>
          <w:p w14:paraId="63C75467">
            <w:pPr>
              <w:spacing w:after="160" w:line="259" w:lineRule="auto"/>
            </w:pPr>
            <w:r>
              <w:t>2021</w:t>
            </w:r>
          </w:p>
        </w:tc>
      </w:tr>
      <w:tr w14:paraId="3227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930" w:type="dxa"/>
        </w:trPr>
        <w:tc>
          <w:tcPr>
            <w:tcW w:w="2010" w:type="dxa"/>
            <w:tcBorders>
              <w:top w:val="nil"/>
              <w:left w:val="outset" w:color="auto" w:sz="6" w:space="0"/>
              <w:bottom w:val="outset" w:color="auto" w:sz="6" w:space="0"/>
              <w:right w:val="outset" w:color="auto" w:sz="6" w:space="0"/>
            </w:tcBorders>
          </w:tcPr>
          <w:p w14:paraId="198036DB">
            <w:pPr>
              <w:spacing w:after="160" w:line="259" w:lineRule="auto"/>
            </w:pPr>
            <w:r>
              <w:t xml:space="preserve">Indicador </w:t>
            </w:r>
          </w:p>
        </w:tc>
        <w:tc>
          <w:tcPr>
            <w:tcW w:w="1965" w:type="dxa"/>
            <w:tcBorders>
              <w:top w:val="nil"/>
              <w:left w:val="outset" w:color="auto" w:sz="6" w:space="0"/>
              <w:bottom w:val="outset" w:color="auto" w:sz="6" w:space="0"/>
              <w:right w:val="outset" w:color="auto" w:sz="6" w:space="0"/>
            </w:tcBorders>
          </w:tcPr>
          <w:p w14:paraId="5E87D8EA">
            <w:pPr>
              <w:spacing w:after="160" w:line="259" w:lineRule="auto"/>
            </w:pPr>
            <w:r>
              <w:t>75,0%</w:t>
            </w:r>
          </w:p>
        </w:tc>
        <w:tc>
          <w:tcPr>
            <w:tcW w:w="1965" w:type="dxa"/>
            <w:tcBorders>
              <w:top w:val="nil"/>
              <w:left w:val="outset" w:color="auto" w:sz="6" w:space="0"/>
              <w:bottom w:val="outset" w:color="auto" w:sz="6" w:space="0"/>
              <w:right w:val="outset" w:color="auto" w:sz="6" w:space="0"/>
            </w:tcBorders>
          </w:tcPr>
          <w:p w14:paraId="5568EE45">
            <w:pPr>
              <w:spacing w:after="160" w:line="259" w:lineRule="auto"/>
              <w:rPr>
                <w:rFonts w:hint="default"/>
                <w:lang w:val="pt-BR"/>
              </w:rPr>
            </w:pPr>
            <w:r>
              <w:rPr>
                <w:rFonts w:hint="default"/>
                <w:lang w:val="pt-BR"/>
              </w:rPr>
              <w:t>75,0%</w:t>
            </w:r>
          </w:p>
        </w:tc>
      </w:tr>
    </w:tbl>
    <w:p w14:paraId="03586486">
      <w:r>
        <w:t xml:space="preserve">  Fonte: INEP – Fonte: IBGE – MUNIC</w:t>
      </w:r>
    </w:p>
    <w:p w14:paraId="38730D37"/>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0"/>
        <w:gridCol w:w="3"/>
        <w:gridCol w:w="6533"/>
        <w:gridCol w:w="89"/>
      </w:tblGrid>
      <w:tr w14:paraId="7EEA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4"/>
          </w:tcPr>
          <w:p w14:paraId="52F9F297">
            <w:pPr>
              <w:jc w:val="center"/>
              <w:rPr>
                <w:rFonts w:hint="default"/>
                <w:b/>
                <w:bCs/>
                <w:vertAlign w:val="baseline"/>
                <w:lang w:val="pt-BR"/>
              </w:rPr>
            </w:pPr>
            <w:r>
              <w:rPr>
                <w:rFonts w:hint="default"/>
                <w:b/>
                <w:bCs/>
                <w:vertAlign w:val="baseline"/>
                <w:lang w:val="pt-BR"/>
              </w:rPr>
              <w:t>Ficha metodológica para o indicador 19F - base PNE</w:t>
            </w:r>
          </w:p>
        </w:tc>
      </w:tr>
      <w:tr w14:paraId="39B7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gridSpan w:val="2"/>
            <w:tcBorders>
              <w:top w:val="outset" w:color="auto" w:sz="6" w:space="0"/>
              <w:left w:val="outset" w:color="auto" w:sz="6" w:space="0"/>
              <w:bottom w:val="outset" w:color="auto" w:sz="6" w:space="0"/>
              <w:right w:val="outset" w:color="auto" w:sz="6" w:space="0"/>
            </w:tcBorders>
          </w:tcPr>
          <w:p w14:paraId="5FDD0B34">
            <w:pPr>
              <w:spacing w:after="160" w:line="259" w:lineRule="auto"/>
              <w:rPr>
                <w:b/>
              </w:rPr>
            </w:pPr>
            <w:r>
              <w:rPr>
                <w:b/>
              </w:rPr>
              <w:t>Meta</w:t>
            </w:r>
          </w:p>
        </w:tc>
        <w:tc>
          <w:tcPr>
            <w:tcW w:w="6533" w:type="dxa"/>
            <w:tcBorders>
              <w:top w:val="outset" w:color="auto" w:sz="6" w:space="0"/>
              <w:left w:val="outset" w:color="auto" w:sz="6" w:space="0"/>
              <w:bottom w:val="outset" w:color="auto" w:sz="6" w:space="0"/>
              <w:right w:val="outset" w:color="auto" w:sz="6" w:space="0"/>
            </w:tcBorders>
          </w:tcPr>
          <w:p w14:paraId="3842846C">
            <w:pPr>
              <w:spacing w:after="160" w:line="259" w:lineRule="auto"/>
              <w:rPr>
                <w:b/>
              </w:rPr>
            </w:pPr>
            <w:r>
              <w:rPr>
                <w:b/>
              </w:rPr>
              <w:t>Texto da meta</w:t>
            </w:r>
          </w:p>
        </w:tc>
      </w:tr>
      <w:tr w14:paraId="78A8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3" w:type="dxa"/>
            <w:gridSpan w:val="2"/>
            <w:tcBorders>
              <w:top w:val="nil"/>
              <w:left w:val="outset" w:color="auto" w:sz="6" w:space="0"/>
              <w:bottom w:val="outset" w:color="auto" w:sz="6" w:space="0"/>
              <w:right w:val="outset" w:color="auto" w:sz="6" w:space="0"/>
            </w:tcBorders>
          </w:tcPr>
          <w:p w14:paraId="4DFD1B03">
            <w:pPr>
              <w:spacing w:after="160" w:line="259" w:lineRule="auto"/>
            </w:pPr>
            <w:r>
              <w:t>19</w:t>
            </w:r>
          </w:p>
          <w:p w14:paraId="0BBD2E6B">
            <w:pPr>
              <w:spacing w:after="160" w:line="259" w:lineRule="auto"/>
            </w:pPr>
          </w:p>
        </w:tc>
        <w:tc>
          <w:tcPr>
            <w:tcW w:w="6533" w:type="dxa"/>
            <w:tcBorders>
              <w:top w:val="nil"/>
              <w:left w:val="outset" w:color="auto" w:sz="6" w:space="0"/>
              <w:bottom w:val="outset" w:color="auto" w:sz="6" w:space="0"/>
              <w:right w:val="outset" w:color="auto" w:sz="6" w:space="0"/>
            </w:tcBorders>
          </w:tcPr>
          <w:p w14:paraId="0DB08992">
            <w:pPr>
              <w:spacing w:after="160" w:line="259" w:lineRule="auto"/>
              <w:jc w:val="both"/>
              <w:rPr>
                <w:i/>
              </w:rPr>
            </w:pPr>
            <w:r>
              <w:rPr>
                <w:bCs/>
              </w:rPr>
              <w:t>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tc>
      </w:tr>
      <w:tr w14:paraId="36D2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0" w:type="dxa"/>
            <w:tcBorders>
              <w:top w:val="outset" w:color="auto" w:sz="6" w:space="0"/>
              <w:left w:val="outset" w:color="auto" w:sz="6" w:space="0"/>
              <w:bottom w:val="outset" w:color="auto" w:sz="6" w:space="0"/>
              <w:right w:val="outset" w:color="auto" w:sz="6" w:space="0"/>
            </w:tcBorders>
          </w:tcPr>
          <w:p w14:paraId="4260408B">
            <w:pPr>
              <w:rPr>
                <w:rFonts w:hint="default"/>
                <w:lang w:val="pt-BR"/>
              </w:rPr>
            </w:pPr>
            <w:r>
              <w:t xml:space="preserve"> Indicador </w:t>
            </w:r>
            <w:r>
              <w:rPr>
                <w:rFonts w:hint="default"/>
                <w:lang w:val="pt-BR"/>
              </w:rPr>
              <w:t xml:space="preserve">19F Nacional </w:t>
            </w:r>
          </w:p>
        </w:tc>
        <w:tc>
          <w:tcPr>
            <w:tcW w:w="6536" w:type="dxa"/>
            <w:gridSpan w:val="2"/>
            <w:tcBorders>
              <w:top w:val="outset" w:color="auto" w:sz="6" w:space="0"/>
              <w:left w:val="outset" w:color="auto" w:sz="6" w:space="0"/>
              <w:bottom w:val="outset" w:color="auto" w:sz="6" w:space="0"/>
              <w:right w:val="outset" w:color="auto" w:sz="6" w:space="0"/>
            </w:tcBorders>
          </w:tcPr>
          <w:p w14:paraId="42C72DB3">
            <w:pPr>
              <w:spacing w:after="160" w:line="259" w:lineRule="auto"/>
              <w:jc w:val="both"/>
              <w:rPr>
                <w:rFonts w:hint="default"/>
                <w:lang w:val="pt-BR"/>
              </w:rPr>
            </w:pPr>
            <w:r>
              <w:t>Percentual de oferta de infraestrutura e capacitação aos membros de Conselho Municipal de Educação, Conselhos de Acompanhamento e Controle Social do Fundeb e Conselhos de Alimentação Escolar pelos municípios</w:t>
            </w:r>
            <w:r>
              <w:rPr>
                <w:rFonts w:hint="default"/>
                <w:lang w:val="pt-BR"/>
              </w:rPr>
              <w:t>.</w:t>
            </w:r>
          </w:p>
        </w:tc>
      </w:tr>
      <w:tr w14:paraId="1B85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0" w:type="dxa"/>
            <w:tcBorders>
              <w:top w:val="outset" w:color="auto" w:sz="6" w:space="0"/>
              <w:left w:val="outset" w:color="auto" w:sz="6" w:space="0"/>
              <w:bottom w:val="outset" w:color="auto" w:sz="6" w:space="0"/>
              <w:right w:val="outset" w:color="auto" w:sz="6" w:space="0"/>
            </w:tcBorders>
          </w:tcPr>
          <w:p w14:paraId="1C4B993D">
            <w:pPr>
              <w:rPr>
                <w:rFonts w:hint="default"/>
                <w:lang w:val="pt-BR"/>
              </w:rPr>
            </w:pPr>
            <w:r>
              <w:rPr>
                <w:rFonts w:hint="default"/>
                <w:lang w:val="pt-BR"/>
              </w:rPr>
              <w:t>Indicador 19F Proposto</w:t>
            </w:r>
          </w:p>
        </w:tc>
        <w:tc>
          <w:tcPr>
            <w:tcW w:w="6536" w:type="dxa"/>
            <w:gridSpan w:val="2"/>
            <w:tcBorders>
              <w:top w:val="outset" w:color="auto" w:sz="6" w:space="0"/>
              <w:left w:val="outset" w:color="auto" w:sz="6" w:space="0"/>
              <w:bottom w:val="outset" w:color="auto" w:sz="6" w:space="0"/>
              <w:right w:val="outset" w:color="auto" w:sz="6" w:space="0"/>
            </w:tcBorders>
          </w:tcPr>
          <w:p w14:paraId="6740992E">
            <w:pPr>
              <w:spacing w:after="160" w:line="259" w:lineRule="auto"/>
              <w:jc w:val="both"/>
              <w:rPr>
                <w:rFonts w:hint="default"/>
                <w:lang w:val="pt-BR"/>
              </w:rPr>
            </w:pPr>
            <w:r>
              <w:rPr>
                <w:rFonts w:hint="default"/>
                <w:lang w:val="pt-BR"/>
              </w:rPr>
              <w:t>Replicar o Nacional</w:t>
            </w:r>
          </w:p>
        </w:tc>
      </w:tr>
      <w:tr w14:paraId="1FB8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0" w:type="dxa"/>
            <w:tcBorders>
              <w:top w:val="nil"/>
              <w:left w:val="outset" w:color="auto" w:sz="6" w:space="0"/>
              <w:bottom w:val="outset" w:color="auto" w:sz="6" w:space="0"/>
              <w:right w:val="outset" w:color="auto" w:sz="6" w:space="0"/>
            </w:tcBorders>
          </w:tcPr>
          <w:p w14:paraId="44E01D17">
            <w:pPr>
              <w:spacing w:after="160" w:line="259" w:lineRule="auto"/>
            </w:pPr>
            <w:r>
              <w:t>Fórmula de cálculo</w:t>
            </w:r>
          </w:p>
        </w:tc>
        <w:tc>
          <w:tcPr>
            <w:tcW w:w="6536" w:type="dxa"/>
            <w:gridSpan w:val="2"/>
            <w:tcBorders>
              <w:top w:val="nil"/>
              <w:left w:val="outset" w:color="auto" w:sz="6" w:space="0"/>
              <w:bottom w:val="outset" w:color="auto" w:sz="6" w:space="0"/>
              <w:right w:val="outset" w:color="auto" w:sz="6" w:space="0"/>
            </w:tcBorders>
          </w:tcPr>
          <w:p w14:paraId="359A84DC">
            <w:pPr>
              <w:spacing w:after="160" w:line="240" w:lineRule="auto"/>
              <w:jc w:val="both"/>
            </w:pPr>
            <w:r>
              <w:t>(Quantidade de oferta de infraestrutra e de capacitação aos membros dos Conselhos Municipais de Educação, Conselhos de Controle e Acompanhamento Social do Fundeb, Conselhos de Alimentação</w:t>
            </w:r>
            <w:r>
              <w:rPr>
                <w:rFonts w:hint="default"/>
                <w:lang w:val="pt-BR"/>
              </w:rPr>
              <w:t xml:space="preserve"> </w:t>
            </w:r>
            <w:r>
              <w:t>Escolar pelos municipios / Quantidade máxima possível de oferta de infraestrutura e de capacitação aos membros dos Conselhos Municipais de Educação, Conselhos de Controle e Acompanhamento Social do Fundeb e Conselhos de Alimentação Escolar pelos municípos) x 100</w:t>
            </w:r>
          </w:p>
        </w:tc>
      </w:tr>
      <w:tr w14:paraId="3FDB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0" w:type="dxa"/>
            <w:tcBorders>
              <w:top w:val="nil"/>
              <w:left w:val="outset" w:color="auto" w:sz="6" w:space="0"/>
              <w:bottom w:val="outset" w:color="auto" w:sz="6" w:space="0"/>
              <w:right w:val="outset" w:color="auto" w:sz="6" w:space="0"/>
            </w:tcBorders>
          </w:tcPr>
          <w:p w14:paraId="62489D61">
            <w:pPr>
              <w:spacing w:after="160" w:line="259" w:lineRule="auto"/>
            </w:pPr>
            <w:r>
              <w:t>Comentário</w:t>
            </w:r>
          </w:p>
        </w:tc>
        <w:tc>
          <w:tcPr>
            <w:tcW w:w="6536" w:type="dxa"/>
            <w:gridSpan w:val="2"/>
            <w:tcBorders>
              <w:top w:val="nil"/>
              <w:left w:val="outset" w:color="auto" w:sz="6" w:space="0"/>
              <w:bottom w:val="outset" w:color="auto" w:sz="6" w:space="0"/>
              <w:right w:val="outset" w:color="auto" w:sz="6" w:space="0"/>
            </w:tcBorders>
          </w:tcPr>
          <w:p w14:paraId="7BCD5859">
            <w:pPr>
              <w:spacing w:after="160" w:line="259" w:lineRule="auto"/>
              <w:jc w:val="both"/>
              <w:rPr>
                <w:b/>
              </w:rPr>
            </w:pPr>
            <w:r>
              <w:t>Incluído conforme Relatório do 3º Ciclo de Monitoramento das Metas do Plano Nacional de Educação – 2020 (INEP</w:t>
            </w:r>
            <w:r>
              <w:rPr>
                <w:b/>
              </w:rPr>
              <w:t>). Porém, O indicador 19F não foi atualizado porque o IBGE não publicou novas informações depois de 2018 sobre quantidade de oferta de infraestrutra e de capacitação aos membros dos Conselhos Municipais de Educação, Conselhos de Controle e Acompanhamento Acompanhamento Social do Fundeb, Conselhos de Alimentação Escolar e Fóruns Permanentes de Educação) no municípios. Dessa forma,</w:t>
            </w:r>
            <w:r>
              <w:rPr>
                <w:rFonts w:hint="default"/>
                <w:b/>
                <w:lang w:val="pt-BR"/>
              </w:rPr>
              <w:t xml:space="preserve"> o dado publicado pelo IBGE mais recente é 2021.</w:t>
            </w:r>
          </w:p>
        </w:tc>
      </w:tr>
    </w:tbl>
    <w:p w14:paraId="53C69185">
      <w:r>
        <w:t xml:space="preserve"> </w:t>
      </w:r>
    </w:p>
    <w:p w14:paraId="1C59159C"/>
    <w:tbl>
      <w:tblPr>
        <w:tblStyle w:val="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965"/>
        <w:gridCol w:w="1965"/>
        <w:gridCol w:w="3930"/>
      </w:tblGrid>
      <w:tr w14:paraId="1EA4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0" w:type="dxa"/>
            <w:gridSpan w:val="4"/>
          </w:tcPr>
          <w:p w14:paraId="60ADE519">
            <w:pPr>
              <w:jc w:val="center"/>
              <w:rPr>
                <w:rFonts w:hint="default"/>
                <w:b/>
                <w:bCs/>
                <w:vertAlign w:val="baseline"/>
                <w:lang w:val="pt-BR"/>
              </w:rPr>
            </w:pPr>
            <w:r>
              <w:rPr>
                <w:rFonts w:hint="default"/>
                <w:b/>
                <w:bCs/>
                <w:vertAlign w:val="baseline"/>
                <w:lang w:val="pt-BR"/>
              </w:rPr>
              <w:t>Dados/Indicadores: Indicador 19E</w:t>
            </w:r>
          </w:p>
        </w:tc>
      </w:tr>
      <w:tr w14:paraId="7EBD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930" w:type="dxa"/>
        </w:trPr>
        <w:tc>
          <w:tcPr>
            <w:tcW w:w="2010" w:type="dxa"/>
            <w:tcBorders>
              <w:top w:val="outset" w:color="auto" w:sz="6" w:space="0"/>
              <w:left w:val="outset" w:color="auto" w:sz="6" w:space="0"/>
              <w:bottom w:val="outset" w:color="auto" w:sz="6" w:space="0"/>
              <w:right w:val="outset" w:color="auto" w:sz="6" w:space="0"/>
            </w:tcBorders>
          </w:tcPr>
          <w:p w14:paraId="7674FDBE">
            <w:pPr>
              <w:spacing w:after="160" w:line="259" w:lineRule="auto"/>
              <w:rPr>
                <w:rFonts w:hint="default"/>
                <w:lang w:val="pt-BR"/>
              </w:rPr>
            </w:pPr>
            <w:r>
              <w:rPr>
                <w:rFonts w:hint="default"/>
                <w:lang w:val="pt-BR"/>
              </w:rPr>
              <w:t>Ano</w:t>
            </w:r>
          </w:p>
        </w:tc>
        <w:tc>
          <w:tcPr>
            <w:tcW w:w="1965" w:type="dxa"/>
            <w:tcBorders>
              <w:top w:val="outset" w:color="auto" w:sz="6" w:space="0"/>
              <w:left w:val="outset" w:color="auto" w:sz="6" w:space="0"/>
              <w:bottom w:val="outset" w:color="auto" w:sz="6" w:space="0"/>
              <w:right w:val="outset" w:color="auto" w:sz="6" w:space="0"/>
            </w:tcBorders>
          </w:tcPr>
          <w:p w14:paraId="57B939F9">
            <w:pPr>
              <w:spacing w:after="160" w:line="259" w:lineRule="auto"/>
            </w:pPr>
            <w:r>
              <w:t>2018</w:t>
            </w:r>
          </w:p>
        </w:tc>
        <w:tc>
          <w:tcPr>
            <w:tcW w:w="1965" w:type="dxa"/>
            <w:tcBorders>
              <w:top w:val="outset" w:color="auto" w:sz="6" w:space="0"/>
              <w:left w:val="outset" w:color="auto" w:sz="6" w:space="0"/>
              <w:bottom w:val="outset" w:color="auto" w:sz="6" w:space="0"/>
              <w:right w:val="outset" w:color="auto" w:sz="6" w:space="0"/>
            </w:tcBorders>
          </w:tcPr>
          <w:p w14:paraId="3162AA83">
            <w:pPr>
              <w:spacing w:after="160" w:line="259" w:lineRule="auto"/>
            </w:pPr>
            <w:r>
              <w:t>2021</w:t>
            </w:r>
          </w:p>
        </w:tc>
      </w:tr>
      <w:tr w14:paraId="0F12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930" w:type="dxa"/>
        </w:trPr>
        <w:tc>
          <w:tcPr>
            <w:tcW w:w="2010" w:type="dxa"/>
            <w:tcBorders>
              <w:top w:val="nil"/>
              <w:left w:val="outset" w:color="auto" w:sz="6" w:space="0"/>
              <w:bottom w:val="outset" w:color="auto" w:sz="6" w:space="0"/>
              <w:right w:val="outset" w:color="auto" w:sz="6" w:space="0"/>
            </w:tcBorders>
          </w:tcPr>
          <w:p w14:paraId="66C477D1">
            <w:pPr>
              <w:spacing w:after="160" w:line="259" w:lineRule="auto"/>
            </w:pPr>
            <w:r>
              <w:t xml:space="preserve">Indicador </w:t>
            </w:r>
          </w:p>
        </w:tc>
        <w:tc>
          <w:tcPr>
            <w:tcW w:w="1965" w:type="dxa"/>
            <w:tcBorders>
              <w:top w:val="nil"/>
              <w:left w:val="outset" w:color="auto" w:sz="6" w:space="0"/>
              <w:bottom w:val="outset" w:color="auto" w:sz="6" w:space="0"/>
              <w:right w:val="outset" w:color="auto" w:sz="6" w:space="0"/>
            </w:tcBorders>
          </w:tcPr>
          <w:p w14:paraId="5DB4F55A">
            <w:pPr>
              <w:spacing w:after="160" w:line="259" w:lineRule="auto"/>
            </w:pPr>
            <w:r>
              <w:t>33,3%</w:t>
            </w:r>
          </w:p>
        </w:tc>
        <w:tc>
          <w:tcPr>
            <w:tcW w:w="1965" w:type="dxa"/>
            <w:tcBorders>
              <w:top w:val="nil"/>
              <w:left w:val="outset" w:color="auto" w:sz="6" w:space="0"/>
              <w:bottom w:val="outset" w:color="auto" w:sz="6" w:space="0"/>
              <w:right w:val="outset" w:color="auto" w:sz="6" w:space="0"/>
            </w:tcBorders>
          </w:tcPr>
          <w:p w14:paraId="537A82A0">
            <w:pPr>
              <w:spacing w:after="160" w:line="259" w:lineRule="auto"/>
            </w:pPr>
            <w:r>
              <w:t>100,0%</w:t>
            </w:r>
          </w:p>
        </w:tc>
      </w:tr>
    </w:tbl>
    <w:p w14:paraId="505EE4CC">
      <w:pPr>
        <w:rPr>
          <w:b/>
          <w:bCs/>
        </w:rPr>
      </w:pPr>
      <w:r>
        <w:t xml:space="preserve">  Fonte: INEP – Fonte: IBGE – MUNIC</w:t>
      </w:r>
    </w:p>
    <w:p w14:paraId="771ADD5A">
      <w:r>
        <w:t xml:space="preserve"> </w:t>
      </w:r>
    </w:p>
    <w:p w14:paraId="3EF81F35">
      <w:pPr>
        <w:spacing w:line="360" w:lineRule="auto"/>
        <w:ind w:firstLine="708" w:firstLineChars="0"/>
      </w:pPr>
      <w:r>
        <w:t xml:space="preserve">A Gestão Democrática da Educação no Município, conta com a participação da comunidade através, das APMF´s – Associação de Pais Mestres e Funcionários, dos Conselhos Escolares e Consulta Pública à Comunidade. </w:t>
      </w:r>
    </w:p>
    <w:p w14:paraId="3ED04A9A">
      <w:r>
        <w:t xml:space="preserve"> </w:t>
      </w:r>
    </w:p>
    <w:tbl>
      <w:tblPr>
        <w:tblStyle w:val="9"/>
        <w:tblW w:w="131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6"/>
        <w:gridCol w:w="11"/>
        <w:gridCol w:w="48"/>
        <w:gridCol w:w="6481"/>
        <w:gridCol w:w="89"/>
      </w:tblGrid>
      <w:tr w14:paraId="1C6C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5" w:type="dxa"/>
            <w:gridSpan w:val="5"/>
          </w:tcPr>
          <w:p w14:paraId="1AB5E75E">
            <w:pPr>
              <w:rPr>
                <w:rFonts w:hint="default"/>
                <w:b/>
                <w:bCs/>
                <w:vertAlign w:val="baseline"/>
                <w:lang w:val="pt-BR"/>
              </w:rPr>
            </w:pPr>
            <w:r>
              <w:rPr>
                <w:rFonts w:hint="default"/>
                <w:b/>
                <w:bCs/>
                <w:vertAlign w:val="baseline"/>
                <w:lang w:val="pt-BR"/>
              </w:rPr>
              <w:t>Ficha metodológica para o indicador  20A  - base PNE</w:t>
            </w:r>
          </w:p>
        </w:tc>
      </w:tr>
      <w:tr w14:paraId="5514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496" w:type="dxa"/>
            <w:tcBorders>
              <w:top w:val="outset" w:color="auto" w:sz="6" w:space="0"/>
              <w:left w:val="outset" w:color="auto" w:sz="6" w:space="0"/>
              <w:bottom w:val="outset" w:color="auto" w:sz="6" w:space="0"/>
              <w:right w:val="outset" w:color="auto" w:sz="6" w:space="0"/>
            </w:tcBorders>
          </w:tcPr>
          <w:p w14:paraId="22E914FB">
            <w:pPr>
              <w:spacing w:after="160" w:line="259" w:lineRule="auto"/>
              <w:rPr>
                <w:b/>
              </w:rPr>
            </w:pPr>
            <w:r>
              <w:rPr>
                <w:b/>
              </w:rPr>
              <w:t>Meta</w:t>
            </w:r>
          </w:p>
        </w:tc>
        <w:tc>
          <w:tcPr>
            <w:tcW w:w="6540" w:type="dxa"/>
            <w:gridSpan w:val="3"/>
            <w:tcBorders>
              <w:top w:val="outset" w:color="auto" w:sz="6" w:space="0"/>
              <w:left w:val="outset" w:color="auto" w:sz="6" w:space="0"/>
              <w:bottom w:val="outset" w:color="auto" w:sz="6" w:space="0"/>
              <w:right w:val="outset" w:color="auto" w:sz="6" w:space="0"/>
            </w:tcBorders>
          </w:tcPr>
          <w:p w14:paraId="6FD7279A">
            <w:pPr>
              <w:spacing w:after="160" w:line="259" w:lineRule="auto"/>
              <w:rPr>
                <w:b/>
              </w:rPr>
            </w:pPr>
            <w:r>
              <w:rPr>
                <w:b/>
              </w:rPr>
              <w:t>Texto da meta</w:t>
            </w:r>
          </w:p>
        </w:tc>
      </w:tr>
      <w:tr w14:paraId="75F1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496" w:type="dxa"/>
            <w:tcBorders>
              <w:top w:val="nil"/>
              <w:left w:val="outset" w:color="auto" w:sz="6" w:space="0"/>
              <w:bottom w:val="outset" w:color="auto" w:sz="6" w:space="0"/>
              <w:right w:val="outset" w:color="auto" w:sz="6" w:space="0"/>
            </w:tcBorders>
          </w:tcPr>
          <w:p w14:paraId="197568A0">
            <w:pPr>
              <w:spacing w:after="160" w:line="259" w:lineRule="auto"/>
            </w:pPr>
            <w:r>
              <w:t>20</w:t>
            </w:r>
          </w:p>
          <w:p w14:paraId="34A95B5C">
            <w:pPr>
              <w:spacing w:after="160" w:line="259" w:lineRule="auto"/>
            </w:pPr>
          </w:p>
          <w:p w14:paraId="1918C4D6">
            <w:pPr>
              <w:spacing w:after="160" w:line="259" w:lineRule="auto"/>
            </w:pPr>
          </w:p>
        </w:tc>
        <w:tc>
          <w:tcPr>
            <w:tcW w:w="6540" w:type="dxa"/>
            <w:gridSpan w:val="3"/>
            <w:tcBorders>
              <w:top w:val="nil"/>
              <w:left w:val="outset" w:color="auto" w:sz="6" w:space="0"/>
              <w:bottom w:val="outset" w:color="auto" w:sz="6" w:space="0"/>
              <w:right w:val="outset" w:color="auto" w:sz="6" w:space="0"/>
            </w:tcBorders>
          </w:tcPr>
          <w:p w14:paraId="225FE67A">
            <w:pPr>
              <w:spacing w:after="160" w:line="259" w:lineRule="auto"/>
              <w:jc w:val="both"/>
              <w:rPr>
                <w:i/>
              </w:rPr>
            </w:pPr>
            <w:r>
              <w:rPr>
                <w:rFonts w:hint="default"/>
                <w:bCs/>
                <w:lang w:val="pt-BR"/>
              </w:rPr>
              <w:t xml:space="preserve">Ampliar </w:t>
            </w:r>
            <w:r>
              <w:rPr>
                <w:bCs/>
              </w:rPr>
              <w:t xml:space="preserve"> o investimento público em educação pública de forma a </w:t>
            </w:r>
            <w:r>
              <w:rPr>
                <w:rFonts w:hint="default"/>
                <w:bCs/>
                <w:lang w:val="pt-BR"/>
              </w:rPr>
              <w:t>atingir, no mínimo, o patamar 7% (sete por cento) do produto interno bruto - PIB do país no 5º (quito) ano de vigência desta Lei e, no mínimo, o equivalente a 10% (dez por cento) do PIB ao final do decênio.</w:t>
            </w:r>
          </w:p>
        </w:tc>
      </w:tr>
      <w:tr w14:paraId="29A2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7" w:type="dxa"/>
            <w:gridSpan w:val="2"/>
            <w:tcBorders>
              <w:top w:val="outset" w:color="auto" w:sz="6" w:space="0"/>
              <w:left w:val="outset" w:color="auto" w:sz="6" w:space="0"/>
              <w:bottom w:val="outset" w:color="auto" w:sz="6" w:space="0"/>
              <w:right w:val="outset" w:color="auto" w:sz="6" w:space="0"/>
            </w:tcBorders>
          </w:tcPr>
          <w:p w14:paraId="2BC4F98B">
            <w:pPr>
              <w:rPr>
                <w:rFonts w:hint="default"/>
                <w:b w:val="0"/>
                <w:bCs/>
                <w:lang w:val="pt-BR"/>
              </w:rPr>
            </w:pPr>
            <w:r>
              <w:rPr>
                <w:rFonts w:hint="default"/>
                <w:b w:val="0"/>
                <w:bCs/>
                <w:lang w:val="pt-BR"/>
              </w:rPr>
              <w:t>Indicador 20A Nacional</w:t>
            </w:r>
          </w:p>
        </w:tc>
        <w:tc>
          <w:tcPr>
            <w:tcW w:w="6529" w:type="dxa"/>
            <w:gridSpan w:val="2"/>
            <w:tcBorders>
              <w:top w:val="outset" w:color="auto" w:sz="6" w:space="0"/>
              <w:left w:val="outset" w:color="auto" w:sz="6" w:space="0"/>
              <w:bottom w:val="outset" w:color="auto" w:sz="6" w:space="0"/>
              <w:right w:val="outset" w:color="auto" w:sz="6" w:space="0"/>
            </w:tcBorders>
          </w:tcPr>
          <w:p w14:paraId="5BA015C6">
            <w:pPr>
              <w:spacing w:after="160" w:line="259" w:lineRule="auto"/>
              <w:rPr>
                <w:rFonts w:hint="default"/>
                <w:b w:val="0"/>
                <w:bCs/>
                <w:lang w:val="pt-BR"/>
              </w:rPr>
            </w:pPr>
            <w:r>
              <w:rPr>
                <w:rFonts w:hint="default"/>
                <w:b w:val="0"/>
                <w:bCs/>
                <w:lang w:val="pt-BR"/>
              </w:rPr>
              <w:t>Gasto público em educação pública em proporção ao PIB</w:t>
            </w:r>
          </w:p>
        </w:tc>
      </w:tr>
      <w:tr w14:paraId="1453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7" w:type="dxa"/>
            <w:gridSpan w:val="2"/>
            <w:tcBorders>
              <w:top w:val="outset" w:color="auto" w:sz="6" w:space="0"/>
              <w:left w:val="outset" w:color="auto" w:sz="6" w:space="0"/>
              <w:bottom w:val="outset" w:color="auto" w:sz="6" w:space="0"/>
              <w:right w:val="outset" w:color="auto" w:sz="6" w:space="0"/>
            </w:tcBorders>
          </w:tcPr>
          <w:p w14:paraId="7FE6A6E6">
            <w:pPr>
              <w:rPr>
                <w:rFonts w:hint="default"/>
                <w:lang w:val="pt-BR"/>
              </w:rPr>
            </w:pPr>
            <w:r>
              <w:rPr>
                <w:b/>
              </w:rPr>
              <w:t xml:space="preserve"> </w:t>
            </w:r>
            <w:r>
              <w:t xml:space="preserve">Indicador </w:t>
            </w:r>
            <w:r>
              <w:rPr>
                <w:rFonts w:hint="default"/>
                <w:lang w:val="pt-BR"/>
              </w:rPr>
              <w:t>20A Proposto</w:t>
            </w:r>
          </w:p>
        </w:tc>
        <w:tc>
          <w:tcPr>
            <w:tcW w:w="6529" w:type="dxa"/>
            <w:gridSpan w:val="2"/>
            <w:tcBorders>
              <w:top w:val="outset" w:color="auto" w:sz="6" w:space="0"/>
              <w:left w:val="outset" w:color="auto" w:sz="6" w:space="0"/>
              <w:bottom w:val="outset" w:color="auto" w:sz="6" w:space="0"/>
              <w:right w:val="outset" w:color="auto" w:sz="6" w:space="0"/>
            </w:tcBorders>
          </w:tcPr>
          <w:p w14:paraId="5E005E22">
            <w:pPr>
              <w:spacing w:after="160" w:line="259" w:lineRule="auto"/>
            </w:pPr>
            <w:r>
              <w:t>Percentual de despesa orçamentária pública municipal em educação em relação ao produto interno bruto (PIB) municipal (a preços correntes).</w:t>
            </w:r>
          </w:p>
        </w:tc>
      </w:tr>
      <w:tr w14:paraId="7700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7" w:type="dxa"/>
            <w:gridSpan w:val="2"/>
            <w:tcBorders>
              <w:top w:val="nil"/>
              <w:left w:val="outset" w:color="auto" w:sz="6" w:space="0"/>
              <w:bottom w:val="outset" w:color="auto" w:sz="6" w:space="0"/>
              <w:right w:val="outset" w:color="auto" w:sz="6" w:space="0"/>
            </w:tcBorders>
          </w:tcPr>
          <w:p w14:paraId="7633E6ED">
            <w:pPr>
              <w:spacing w:after="160" w:line="259" w:lineRule="auto"/>
            </w:pPr>
            <w:r>
              <w:t>Conceitos e definições</w:t>
            </w:r>
          </w:p>
        </w:tc>
        <w:tc>
          <w:tcPr>
            <w:tcW w:w="6529" w:type="dxa"/>
            <w:gridSpan w:val="2"/>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6499"/>
            </w:tblGrid>
            <w:tr w14:paraId="1439A211">
              <w:tblPrEx>
                <w:tblCellMar>
                  <w:top w:w="15" w:type="dxa"/>
                  <w:left w:w="15" w:type="dxa"/>
                  <w:bottom w:w="15" w:type="dxa"/>
                  <w:right w:w="15" w:type="dxa"/>
                </w:tblCellMar>
              </w:tblPrEx>
              <w:tc>
                <w:tcPr>
                  <w:tcW w:w="0" w:type="auto"/>
                  <w:tcBorders>
                    <w:top w:val="nil"/>
                    <w:left w:val="nil"/>
                    <w:bottom w:val="nil"/>
                    <w:right w:val="nil"/>
                  </w:tcBorders>
                </w:tcPr>
                <w:p w14:paraId="2458A533">
                  <w:pPr>
                    <w:jc w:val="both"/>
                  </w:pPr>
                  <w:r>
                    <w:t>Mensura a participação das despesas municipais em educação no PIB municipal</w:t>
                  </w:r>
                </w:p>
              </w:tc>
            </w:tr>
          </w:tbl>
          <w:p w14:paraId="1B24C93E">
            <w:pPr>
              <w:spacing w:after="160" w:line="259" w:lineRule="auto"/>
            </w:pPr>
          </w:p>
        </w:tc>
      </w:tr>
      <w:tr w14:paraId="3875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7" w:type="dxa"/>
            <w:gridSpan w:val="2"/>
            <w:tcBorders>
              <w:top w:val="nil"/>
              <w:left w:val="outset" w:color="auto" w:sz="6" w:space="0"/>
              <w:bottom w:val="outset" w:color="auto" w:sz="6" w:space="0"/>
              <w:right w:val="outset" w:color="auto" w:sz="6" w:space="0"/>
            </w:tcBorders>
          </w:tcPr>
          <w:p w14:paraId="237B7D3A">
            <w:pPr>
              <w:spacing w:after="160" w:line="259" w:lineRule="auto"/>
            </w:pPr>
            <w:r>
              <w:t>Fórmula de cálculo</w:t>
            </w:r>
          </w:p>
        </w:tc>
        <w:tc>
          <w:tcPr>
            <w:tcW w:w="6529" w:type="dxa"/>
            <w:gridSpan w:val="2"/>
            <w:tcBorders>
              <w:top w:val="nil"/>
              <w:left w:val="outset" w:color="auto" w:sz="6" w:space="0"/>
              <w:bottom w:val="outset" w:color="auto" w:sz="6" w:space="0"/>
              <w:right w:val="outset" w:color="auto" w:sz="6" w:space="0"/>
            </w:tcBorders>
          </w:tcPr>
          <w:p w14:paraId="4DCB7DE1">
            <w:pPr>
              <w:spacing w:after="160" w:line="259" w:lineRule="auto"/>
              <w:jc w:val="both"/>
            </w:pPr>
            <w:r>
              <w:t>(Despesa orçamentária pública municipal em educação / Produto interno bruto) X 100</w:t>
            </w:r>
          </w:p>
        </w:tc>
      </w:tr>
      <w:tr w14:paraId="0419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89" w:type="dxa"/>
        </w:trPr>
        <w:tc>
          <w:tcPr>
            <w:tcW w:w="6507" w:type="dxa"/>
            <w:gridSpan w:val="2"/>
            <w:tcBorders>
              <w:top w:val="nil"/>
              <w:left w:val="outset" w:color="auto" w:sz="6" w:space="0"/>
              <w:bottom w:val="outset" w:color="auto" w:sz="6" w:space="0"/>
              <w:right w:val="outset" w:color="auto" w:sz="6" w:space="0"/>
            </w:tcBorders>
          </w:tcPr>
          <w:p w14:paraId="2125384C">
            <w:pPr>
              <w:spacing w:after="160" w:line="259" w:lineRule="auto"/>
            </w:pPr>
            <w:r>
              <w:t>Unidade de medida</w:t>
            </w:r>
          </w:p>
        </w:tc>
        <w:tc>
          <w:tcPr>
            <w:tcW w:w="6529" w:type="dxa"/>
            <w:gridSpan w:val="2"/>
            <w:tcBorders>
              <w:top w:val="nil"/>
              <w:left w:val="outset" w:color="auto" w:sz="6" w:space="0"/>
              <w:bottom w:val="outset" w:color="auto" w:sz="6" w:space="0"/>
              <w:right w:val="outset" w:color="auto" w:sz="6" w:space="0"/>
            </w:tcBorders>
          </w:tcPr>
          <w:tbl>
            <w:tblPr>
              <w:tblStyle w:val="3"/>
              <w:tblW w:w="0" w:type="auto"/>
              <w:tblInd w:w="0" w:type="dxa"/>
              <w:tblLayout w:type="autofit"/>
              <w:tblCellMar>
                <w:top w:w="15" w:type="dxa"/>
                <w:left w:w="15" w:type="dxa"/>
                <w:bottom w:w="15" w:type="dxa"/>
                <w:right w:w="15" w:type="dxa"/>
              </w:tblCellMar>
            </w:tblPr>
            <w:tblGrid>
              <w:gridCol w:w="1375"/>
            </w:tblGrid>
            <w:tr w14:paraId="3D2C2324">
              <w:tblPrEx>
                <w:tblCellMar>
                  <w:top w:w="15" w:type="dxa"/>
                  <w:left w:w="15" w:type="dxa"/>
                  <w:bottom w:w="15" w:type="dxa"/>
                  <w:right w:w="15" w:type="dxa"/>
                </w:tblCellMar>
              </w:tblPrEx>
              <w:tc>
                <w:tcPr>
                  <w:tcW w:w="0" w:type="auto"/>
                  <w:tcBorders>
                    <w:top w:val="nil"/>
                    <w:left w:val="nil"/>
                    <w:bottom w:val="nil"/>
                    <w:right w:val="nil"/>
                  </w:tcBorders>
                </w:tcPr>
                <w:p w14:paraId="584CFC9B">
                  <w:r>
                    <w:t xml:space="preserve">%despesas/PIB </w:t>
                  </w:r>
                </w:p>
              </w:tc>
            </w:tr>
          </w:tbl>
          <w:p w14:paraId="4FF9D8AA">
            <w:pPr>
              <w:spacing w:after="160" w:line="259" w:lineRule="auto"/>
            </w:pPr>
          </w:p>
        </w:tc>
      </w:tr>
      <w:tr w14:paraId="0592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55" w:type="dxa"/>
            <w:gridSpan w:val="3"/>
            <w:tcBorders>
              <w:top w:val="nil"/>
              <w:left w:val="outset" w:color="auto" w:sz="6" w:space="0"/>
              <w:bottom w:val="outset" w:color="auto" w:sz="6" w:space="0"/>
              <w:right w:val="outset" w:color="auto" w:sz="6" w:space="0"/>
            </w:tcBorders>
          </w:tcPr>
          <w:p w14:paraId="4ECA4F01">
            <w:pPr>
              <w:jc w:val="both"/>
              <w:rPr>
                <w:rFonts w:hint="default"/>
                <w:lang w:val="pt-BR"/>
              </w:rPr>
            </w:pPr>
            <w:r>
              <w:t xml:space="preserve"> </w:t>
            </w:r>
            <w:r>
              <w:rPr>
                <w:rFonts w:hint="default"/>
                <w:lang w:val="pt-BR"/>
              </w:rPr>
              <w:t>Variáveis que compõem o indicador, suas respectivas fontes e instituições produtoras.</w:t>
            </w:r>
          </w:p>
        </w:tc>
        <w:tc>
          <w:tcPr>
            <w:tcW w:w="6570" w:type="dxa"/>
            <w:gridSpan w:val="2"/>
            <w:tcBorders>
              <w:top w:val="nil"/>
              <w:left w:val="outset" w:color="auto" w:sz="6" w:space="0"/>
              <w:bottom w:val="outset" w:color="auto" w:sz="6" w:space="0"/>
              <w:right w:val="outset" w:color="auto" w:sz="6" w:space="0"/>
            </w:tcBorders>
          </w:tcPr>
          <w:p w14:paraId="5E335292">
            <w:pPr>
              <w:spacing w:after="160" w:line="259" w:lineRule="auto"/>
              <w:jc w:val="both"/>
              <w:rPr>
                <w:rFonts w:hint="default"/>
                <w:vertAlign w:val="baseline"/>
                <w:lang w:val="pt-BR"/>
              </w:rPr>
            </w:pPr>
            <w:r>
              <w:rPr>
                <w:rFonts w:hint="default"/>
                <w:lang w:val="pt-BR"/>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5"/>
              <w:gridCol w:w="2165"/>
              <w:gridCol w:w="2165"/>
            </w:tblGrid>
            <w:tr w14:paraId="64FC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35C5C601">
                  <w:pPr>
                    <w:spacing w:after="160" w:line="259" w:lineRule="auto"/>
                    <w:jc w:val="center"/>
                    <w:rPr>
                      <w:rFonts w:hint="default"/>
                      <w:vertAlign w:val="baseline"/>
                      <w:lang w:val="pt-BR"/>
                    </w:rPr>
                  </w:pPr>
                  <w:r>
                    <w:rPr>
                      <w:rFonts w:hint="default"/>
                      <w:vertAlign w:val="baseline"/>
                      <w:lang w:val="pt-BR"/>
                    </w:rPr>
                    <w:t>Variáveis</w:t>
                  </w:r>
                </w:p>
              </w:tc>
              <w:tc>
                <w:tcPr>
                  <w:tcW w:w="2165" w:type="dxa"/>
                </w:tcPr>
                <w:p w14:paraId="1F68C3BE">
                  <w:pPr>
                    <w:spacing w:after="160" w:line="259" w:lineRule="auto"/>
                    <w:jc w:val="center"/>
                    <w:rPr>
                      <w:rFonts w:hint="default"/>
                      <w:vertAlign w:val="baseline"/>
                      <w:lang w:val="pt-BR"/>
                    </w:rPr>
                  </w:pPr>
                  <w:r>
                    <w:rPr>
                      <w:rFonts w:hint="default"/>
                      <w:vertAlign w:val="baseline"/>
                      <w:lang w:val="pt-BR"/>
                    </w:rPr>
                    <w:t>Fontes</w:t>
                  </w:r>
                </w:p>
              </w:tc>
              <w:tc>
                <w:tcPr>
                  <w:tcW w:w="2165" w:type="dxa"/>
                </w:tcPr>
                <w:p w14:paraId="109D707C">
                  <w:pPr>
                    <w:spacing w:after="160" w:line="259" w:lineRule="auto"/>
                    <w:jc w:val="center"/>
                    <w:rPr>
                      <w:rFonts w:hint="default"/>
                      <w:vertAlign w:val="baseline"/>
                      <w:lang w:val="pt-BR"/>
                    </w:rPr>
                  </w:pPr>
                  <w:r>
                    <w:rPr>
                      <w:rFonts w:hint="default"/>
                      <w:vertAlign w:val="baseline"/>
                      <w:lang w:val="pt-BR"/>
                    </w:rPr>
                    <w:t>Instituições</w:t>
                  </w:r>
                </w:p>
              </w:tc>
            </w:tr>
            <w:tr w14:paraId="6453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7CF4338C">
                  <w:pPr>
                    <w:spacing w:after="160" w:line="259" w:lineRule="auto"/>
                    <w:jc w:val="center"/>
                    <w:rPr>
                      <w:rFonts w:hint="default"/>
                      <w:vertAlign w:val="baseline"/>
                      <w:lang w:val="pt-BR"/>
                    </w:rPr>
                  </w:pPr>
                  <w:r>
                    <w:rPr>
                      <w:rFonts w:hint="default"/>
                      <w:vertAlign w:val="baseline"/>
                      <w:lang w:val="pt-BR"/>
                    </w:rPr>
                    <w:t>Produto Interno Bruto a Preços Correntes</w:t>
                  </w:r>
                </w:p>
              </w:tc>
              <w:tc>
                <w:tcPr>
                  <w:tcW w:w="2165" w:type="dxa"/>
                </w:tcPr>
                <w:p w14:paraId="47655921">
                  <w:pPr>
                    <w:spacing w:after="160" w:line="259" w:lineRule="auto"/>
                    <w:jc w:val="center"/>
                    <w:rPr>
                      <w:rFonts w:hint="default"/>
                      <w:vertAlign w:val="baseline"/>
                      <w:lang w:val="pt-BR"/>
                    </w:rPr>
                  </w:pPr>
                  <w:r>
                    <w:rPr>
                      <w:rFonts w:hint="default"/>
                      <w:vertAlign w:val="baseline"/>
                      <w:lang w:val="pt-BR"/>
                    </w:rPr>
                    <w:t>Base de dados do Estado</w:t>
                  </w:r>
                </w:p>
              </w:tc>
              <w:tc>
                <w:tcPr>
                  <w:tcW w:w="2165" w:type="dxa"/>
                </w:tcPr>
                <w:p w14:paraId="0013D0A1">
                  <w:pPr>
                    <w:spacing w:after="160" w:line="259" w:lineRule="auto"/>
                    <w:jc w:val="center"/>
                    <w:rPr>
                      <w:rFonts w:hint="default"/>
                      <w:vertAlign w:val="baseline"/>
                      <w:lang w:val="pt-BR"/>
                    </w:rPr>
                  </w:pPr>
                  <w:r>
                    <w:rPr>
                      <w:rFonts w:hint="default"/>
                      <w:vertAlign w:val="baseline"/>
                      <w:lang w:val="pt-BR"/>
                    </w:rPr>
                    <w:t>IPARDES</w:t>
                  </w:r>
                </w:p>
              </w:tc>
            </w:tr>
            <w:tr w14:paraId="3E7B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4004DA2A">
                  <w:pPr>
                    <w:spacing w:after="160" w:line="259" w:lineRule="auto"/>
                    <w:jc w:val="both"/>
                    <w:rPr>
                      <w:rFonts w:hint="default"/>
                      <w:vertAlign w:val="baseline"/>
                      <w:lang w:val="pt-BR"/>
                    </w:rPr>
                  </w:pPr>
                  <w:r>
                    <w:rPr>
                      <w:rFonts w:hint="default"/>
                      <w:vertAlign w:val="baseline"/>
                      <w:lang w:val="pt-BR"/>
                    </w:rPr>
                    <w:t>Despesas por Função - Educação</w:t>
                  </w:r>
                </w:p>
              </w:tc>
              <w:tc>
                <w:tcPr>
                  <w:tcW w:w="2165" w:type="dxa"/>
                </w:tcPr>
                <w:p w14:paraId="5ACA695E">
                  <w:pPr>
                    <w:spacing w:after="160" w:line="259" w:lineRule="auto"/>
                    <w:jc w:val="center"/>
                    <w:rPr>
                      <w:rFonts w:hint="default"/>
                      <w:vertAlign w:val="baseline"/>
                      <w:lang w:val="pt-BR"/>
                    </w:rPr>
                  </w:pPr>
                  <w:r>
                    <w:rPr>
                      <w:rFonts w:hint="default"/>
                      <w:vertAlign w:val="baseline"/>
                      <w:lang w:val="pt-BR"/>
                    </w:rPr>
                    <w:t>Base de dados do Estado</w:t>
                  </w:r>
                </w:p>
              </w:tc>
              <w:tc>
                <w:tcPr>
                  <w:tcW w:w="2165" w:type="dxa"/>
                </w:tcPr>
                <w:p w14:paraId="6B4E763F">
                  <w:pPr>
                    <w:spacing w:after="160" w:line="259" w:lineRule="auto"/>
                    <w:jc w:val="center"/>
                    <w:rPr>
                      <w:rFonts w:hint="default"/>
                      <w:vertAlign w:val="baseline"/>
                      <w:lang w:val="pt-BR"/>
                    </w:rPr>
                  </w:pPr>
                  <w:r>
                    <w:rPr>
                      <w:rFonts w:hint="default"/>
                      <w:vertAlign w:val="baseline"/>
                      <w:lang w:val="pt-BR"/>
                    </w:rPr>
                    <w:t>IPARDES</w:t>
                  </w:r>
                </w:p>
              </w:tc>
            </w:tr>
          </w:tbl>
          <w:p w14:paraId="3A078FB0">
            <w:pPr>
              <w:spacing w:after="160" w:line="259" w:lineRule="auto"/>
              <w:jc w:val="both"/>
              <w:rPr>
                <w:rFonts w:hint="default"/>
                <w:lang w:val="pt-BR"/>
              </w:rPr>
            </w:pPr>
          </w:p>
        </w:tc>
      </w:tr>
      <w:tr w14:paraId="032D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55" w:type="dxa"/>
            <w:gridSpan w:val="3"/>
            <w:tcBorders>
              <w:top w:val="nil"/>
              <w:left w:val="outset" w:color="auto" w:sz="6" w:space="0"/>
              <w:bottom w:val="outset" w:color="auto" w:sz="6" w:space="0"/>
              <w:right w:val="outset" w:color="auto" w:sz="6" w:space="0"/>
            </w:tcBorders>
          </w:tcPr>
          <w:p w14:paraId="4C219E71">
            <w:pPr>
              <w:spacing w:after="160" w:line="259" w:lineRule="auto"/>
              <w:rPr>
                <w:rFonts w:hint="default"/>
                <w:lang w:val="pt-BR"/>
              </w:rPr>
            </w:pPr>
            <w:r>
              <w:rPr>
                <w:rFonts w:hint="default"/>
                <w:lang w:val="pt-BR"/>
              </w:rPr>
              <w:t>Níveis de Desagregação</w:t>
            </w:r>
          </w:p>
        </w:tc>
        <w:tc>
          <w:tcPr>
            <w:tcW w:w="6570" w:type="dxa"/>
            <w:gridSpan w:val="2"/>
            <w:tcBorders>
              <w:top w:val="nil"/>
              <w:left w:val="outset" w:color="auto" w:sz="6" w:space="0"/>
              <w:bottom w:val="outset" w:color="auto" w:sz="6" w:space="0"/>
              <w:right w:val="outset" w:color="auto" w:sz="6" w:space="0"/>
            </w:tcBorders>
          </w:tcPr>
          <w:p w14:paraId="5DF6733B">
            <w:pPr>
              <w:spacing w:after="160" w:line="259" w:lineRule="auto"/>
              <w:jc w:val="center"/>
              <w:rPr>
                <w:rFonts w:hint="default"/>
                <w:lang w:val="pt-BR"/>
              </w:rPr>
            </w:pPr>
            <w:r>
              <w:rPr>
                <w:rFonts w:hint="default"/>
                <w:lang w:val="pt-BR"/>
              </w:rPr>
              <w:t>Estados e Municípios</w:t>
            </w:r>
          </w:p>
        </w:tc>
      </w:tr>
      <w:tr w14:paraId="426E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55" w:type="dxa"/>
            <w:gridSpan w:val="3"/>
            <w:tcBorders>
              <w:top w:val="nil"/>
              <w:left w:val="outset" w:color="auto" w:sz="6" w:space="0"/>
              <w:bottom w:val="outset" w:color="auto" w:sz="6" w:space="0"/>
              <w:right w:val="outset" w:color="auto" w:sz="6" w:space="0"/>
            </w:tcBorders>
          </w:tcPr>
          <w:p w14:paraId="454E4159">
            <w:pPr>
              <w:spacing w:after="160" w:line="259" w:lineRule="auto"/>
              <w:rPr>
                <w:rFonts w:hint="default"/>
                <w:lang w:val="pt-BR"/>
              </w:rPr>
            </w:pPr>
            <w:r>
              <w:rPr>
                <w:rFonts w:hint="default"/>
                <w:lang w:val="pt-BR"/>
              </w:rPr>
              <w:t>Periodicidade de atualização</w:t>
            </w:r>
          </w:p>
        </w:tc>
        <w:tc>
          <w:tcPr>
            <w:tcW w:w="6570" w:type="dxa"/>
            <w:gridSpan w:val="2"/>
            <w:tcBorders>
              <w:top w:val="nil"/>
              <w:left w:val="outset" w:color="auto" w:sz="6" w:space="0"/>
              <w:bottom w:val="outset" w:color="auto" w:sz="6" w:space="0"/>
              <w:right w:val="outset" w:color="auto" w:sz="6" w:space="0"/>
            </w:tcBorders>
          </w:tcPr>
          <w:p w14:paraId="1E5DC0C5">
            <w:pPr>
              <w:spacing w:after="160" w:line="259" w:lineRule="auto"/>
              <w:jc w:val="center"/>
              <w:rPr>
                <w:rFonts w:hint="default"/>
                <w:lang w:val="pt-BR"/>
              </w:rPr>
            </w:pPr>
            <w:r>
              <w:rPr>
                <w:rFonts w:hint="default"/>
                <w:lang w:val="pt-BR"/>
              </w:rPr>
              <w:t>Anual</w:t>
            </w:r>
          </w:p>
        </w:tc>
      </w:tr>
      <w:tr w14:paraId="0DAD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55" w:type="dxa"/>
            <w:gridSpan w:val="3"/>
            <w:tcBorders>
              <w:top w:val="nil"/>
              <w:left w:val="outset" w:color="auto" w:sz="6" w:space="0"/>
              <w:bottom w:val="outset" w:color="auto" w:sz="6" w:space="0"/>
              <w:right w:val="outset" w:color="auto" w:sz="6" w:space="0"/>
            </w:tcBorders>
          </w:tcPr>
          <w:p w14:paraId="3FDB8DA5">
            <w:pPr>
              <w:spacing w:after="160" w:line="259" w:lineRule="auto"/>
              <w:rPr>
                <w:rFonts w:hint="default"/>
                <w:lang w:val="pt-BR"/>
              </w:rPr>
            </w:pPr>
            <w:r>
              <w:rPr>
                <w:rFonts w:hint="default"/>
                <w:lang w:val="pt-BR"/>
              </w:rPr>
              <w:t>Desvantagens</w:t>
            </w:r>
          </w:p>
        </w:tc>
        <w:tc>
          <w:tcPr>
            <w:tcW w:w="6570" w:type="dxa"/>
            <w:gridSpan w:val="2"/>
            <w:tcBorders>
              <w:top w:val="nil"/>
              <w:left w:val="outset" w:color="auto" w:sz="6" w:space="0"/>
              <w:bottom w:val="outset" w:color="auto" w:sz="6" w:space="0"/>
              <w:right w:val="outset" w:color="auto" w:sz="6" w:space="0"/>
            </w:tcBorders>
          </w:tcPr>
          <w:p w14:paraId="0D950843">
            <w:pPr>
              <w:numPr>
                <w:ilvl w:val="0"/>
                <w:numId w:val="4"/>
              </w:numPr>
              <w:spacing w:after="160" w:line="259" w:lineRule="auto"/>
              <w:jc w:val="both"/>
              <w:rPr>
                <w:rFonts w:hint="default"/>
                <w:lang w:val="pt-BR"/>
              </w:rPr>
            </w:pPr>
            <w:r>
              <w:rPr>
                <w:rFonts w:hint="default"/>
                <w:lang w:val="pt-BR"/>
              </w:rPr>
              <w:t>Não segue a fonte oficial de dados sugeridas pelo INEP, devido a dificuldade de localização de dados referente a recursos federais e estaduais, das diferentes fontes e transferências, de forma a não contabilizar de forma duplicada no município. Assim não contempla a totalidade dos recursos públicos investidos em educação; b) Abarca os gastos públicos municipais em educação privada, via convênios, acordos de cooperação técnica, atendimento indireto, etc.</w:t>
            </w:r>
          </w:p>
        </w:tc>
      </w:tr>
      <w:tr w14:paraId="6E34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55" w:type="dxa"/>
            <w:gridSpan w:val="3"/>
            <w:tcBorders>
              <w:top w:val="nil"/>
              <w:left w:val="outset" w:color="auto" w:sz="6" w:space="0"/>
              <w:bottom w:val="outset" w:color="auto" w:sz="6" w:space="0"/>
              <w:right w:val="outset" w:color="auto" w:sz="6" w:space="0"/>
            </w:tcBorders>
          </w:tcPr>
          <w:p w14:paraId="13CE5FB6">
            <w:pPr>
              <w:spacing w:after="160" w:line="259" w:lineRule="auto"/>
              <w:rPr>
                <w:rFonts w:hint="default"/>
                <w:lang w:val="pt-BR"/>
              </w:rPr>
            </w:pPr>
            <w:r>
              <w:rPr>
                <w:rFonts w:hint="default"/>
                <w:lang w:val="pt-BR"/>
              </w:rPr>
              <w:t>Vantagens</w:t>
            </w:r>
          </w:p>
        </w:tc>
        <w:tc>
          <w:tcPr>
            <w:tcW w:w="6570" w:type="dxa"/>
            <w:gridSpan w:val="2"/>
            <w:tcBorders>
              <w:top w:val="nil"/>
              <w:left w:val="outset" w:color="auto" w:sz="6" w:space="0"/>
              <w:bottom w:val="outset" w:color="auto" w:sz="6" w:space="0"/>
              <w:right w:val="outset" w:color="auto" w:sz="6" w:space="0"/>
            </w:tcBorders>
          </w:tcPr>
          <w:p w14:paraId="79145719">
            <w:pPr>
              <w:spacing w:after="160" w:line="259" w:lineRule="auto"/>
              <w:jc w:val="both"/>
              <w:rPr>
                <w:rFonts w:hint="default"/>
                <w:lang w:val="pt-BR"/>
              </w:rPr>
            </w:pPr>
            <w:r>
              <w:rPr>
                <w:rFonts w:hint="default"/>
                <w:lang w:val="pt-BR"/>
              </w:rPr>
              <w:t>Proporciona acompanhar o desempenho das despesas municipais públicas</w:t>
            </w:r>
          </w:p>
        </w:tc>
      </w:tr>
    </w:tbl>
    <w:p w14:paraId="7A89E5DD"/>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378"/>
        <w:gridCol w:w="1378"/>
        <w:gridCol w:w="1378"/>
        <w:gridCol w:w="1378"/>
        <w:gridCol w:w="1338"/>
        <w:gridCol w:w="1272"/>
        <w:gridCol w:w="1193"/>
        <w:gridCol w:w="1061"/>
        <w:gridCol w:w="1155"/>
        <w:gridCol w:w="46"/>
      </w:tblGrid>
      <w:tr w14:paraId="4D94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jc w:val="center"/>
        </w:trPr>
        <w:tc>
          <w:tcPr>
            <w:tcW w:w="13129" w:type="dxa"/>
            <w:gridSpan w:val="10"/>
          </w:tcPr>
          <w:p w14:paraId="158761A3">
            <w:pPr>
              <w:jc w:val="center"/>
              <w:rPr>
                <w:rFonts w:hint="default"/>
                <w:b/>
                <w:bCs/>
                <w:vertAlign w:val="baseline"/>
                <w:lang w:val="pt-BR"/>
              </w:rPr>
            </w:pPr>
            <w:r>
              <w:rPr>
                <w:rFonts w:hint="default"/>
                <w:b/>
                <w:bCs/>
                <w:vertAlign w:val="baseline"/>
                <w:lang w:val="pt-BR"/>
              </w:rPr>
              <w:t>Dados/Indicadores: Indicador 20A</w:t>
            </w:r>
          </w:p>
        </w:tc>
      </w:tr>
      <w:tr w14:paraId="2ADA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1201" w:type="dxa"/>
          <w:jc w:val="center"/>
        </w:trPr>
        <w:tc>
          <w:tcPr>
            <w:tcW w:w="1598" w:type="dxa"/>
            <w:tcBorders>
              <w:top w:val="outset" w:color="auto" w:sz="6" w:space="0"/>
              <w:left w:val="outset" w:color="auto" w:sz="6" w:space="0"/>
              <w:bottom w:val="outset" w:color="auto" w:sz="6" w:space="0"/>
              <w:right w:val="outset" w:color="auto" w:sz="6" w:space="0"/>
            </w:tcBorders>
          </w:tcPr>
          <w:p w14:paraId="52FE2034">
            <w:pPr>
              <w:spacing w:after="160" w:line="259" w:lineRule="auto"/>
              <w:rPr>
                <w:rFonts w:hint="default"/>
                <w:lang w:val="pt-BR"/>
              </w:rPr>
            </w:pPr>
            <w:r>
              <w:rPr>
                <w:rFonts w:hint="default"/>
                <w:lang w:val="pt-BR"/>
              </w:rPr>
              <w:t>Ano</w:t>
            </w:r>
          </w:p>
        </w:tc>
        <w:tc>
          <w:tcPr>
            <w:tcW w:w="1378" w:type="dxa"/>
            <w:tcBorders>
              <w:top w:val="outset" w:color="auto" w:sz="6" w:space="0"/>
              <w:left w:val="outset" w:color="auto" w:sz="6" w:space="0"/>
              <w:bottom w:val="outset" w:color="auto" w:sz="6" w:space="0"/>
              <w:right w:val="outset" w:color="auto" w:sz="6" w:space="0"/>
            </w:tcBorders>
          </w:tcPr>
          <w:p w14:paraId="5E196F99">
            <w:pPr>
              <w:spacing w:after="160" w:line="259" w:lineRule="auto"/>
            </w:pPr>
            <w:r>
              <w:t>2014</w:t>
            </w:r>
          </w:p>
        </w:tc>
        <w:tc>
          <w:tcPr>
            <w:tcW w:w="1378" w:type="dxa"/>
            <w:tcBorders>
              <w:top w:val="outset" w:color="auto" w:sz="6" w:space="0"/>
              <w:left w:val="outset" w:color="auto" w:sz="6" w:space="0"/>
              <w:bottom w:val="outset" w:color="auto" w:sz="6" w:space="0"/>
              <w:right w:val="outset" w:color="auto" w:sz="6" w:space="0"/>
            </w:tcBorders>
          </w:tcPr>
          <w:p w14:paraId="2990DC14">
            <w:pPr>
              <w:spacing w:after="160" w:line="259" w:lineRule="auto"/>
            </w:pPr>
            <w:r>
              <w:t>2015</w:t>
            </w:r>
          </w:p>
        </w:tc>
        <w:tc>
          <w:tcPr>
            <w:tcW w:w="1378" w:type="dxa"/>
            <w:tcBorders>
              <w:top w:val="outset" w:color="auto" w:sz="6" w:space="0"/>
              <w:left w:val="outset" w:color="auto" w:sz="6" w:space="0"/>
              <w:bottom w:val="outset" w:color="auto" w:sz="6" w:space="0"/>
              <w:right w:val="outset" w:color="auto" w:sz="6" w:space="0"/>
            </w:tcBorders>
          </w:tcPr>
          <w:p w14:paraId="1CCC775E">
            <w:pPr>
              <w:spacing w:after="160" w:line="259" w:lineRule="auto"/>
            </w:pPr>
            <w:r>
              <w:t>2016</w:t>
            </w:r>
          </w:p>
        </w:tc>
        <w:tc>
          <w:tcPr>
            <w:tcW w:w="1378" w:type="dxa"/>
            <w:tcBorders>
              <w:top w:val="outset" w:color="auto" w:sz="6" w:space="0"/>
              <w:left w:val="outset" w:color="auto" w:sz="6" w:space="0"/>
              <w:bottom w:val="outset" w:color="auto" w:sz="6" w:space="0"/>
              <w:right w:val="outset" w:color="auto" w:sz="6" w:space="0"/>
            </w:tcBorders>
          </w:tcPr>
          <w:p w14:paraId="3D15A802">
            <w:pPr>
              <w:spacing w:after="160" w:line="259" w:lineRule="auto"/>
            </w:pPr>
            <w:r>
              <w:t>2017</w:t>
            </w:r>
          </w:p>
        </w:tc>
        <w:tc>
          <w:tcPr>
            <w:tcW w:w="1338" w:type="dxa"/>
            <w:tcBorders>
              <w:top w:val="outset" w:color="auto" w:sz="6" w:space="0"/>
              <w:left w:val="outset" w:color="auto" w:sz="6" w:space="0"/>
              <w:bottom w:val="outset" w:color="auto" w:sz="6" w:space="0"/>
              <w:right w:val="outset" w:color="auto" w:sz="6" w:space="0"/>
            </w:tcBorders>
          </w:tcPr>
          <w:p w14:paraId="303B33CC">
            <w:pPr>
              <w:spacing w:after="160" w:line="259" w:lineRule="auto"/>
            </w:pPr>
            <w:r>
              <w:t>2018</w:t>
            </w:r>
          </w:p>
        </w:tc>
        <w:tc>
          <w:tcPr>
            <w:tcW w:w="1272" w:type="dxa"/>
            <w:tcBorders>
              <w:top w:val="outset" w:color="auto" w:sz="6" w:space="0"/>
              <w:left w:val="outset" w:color="auto" w:sz="6" w:space="0"/>
              <w:bottom w:val="outset" w:color="auto" w:sz="6" w:space="0"/>
              <w:right w:val="outset" w:color="auto" w:sz="6" w:space="0"/>
            </w:tcBorders>
          </w:tcPr>
          <w:p w14:paraId="57A269DC">
            <w:pPr>
              <w:spacing w:after="160" w:line="259" w:lineRule="auto"/>
            </w:pPr>
            <w:r>
              <w:t>2019</w:t>
            </w:r>
          </w:p>
        </w:tc>
        <w:tc>
          <w:tcPr>
            <w:tcW w:w="1193" w:type="dxa"/>
            <w:tcBorders>
              <w:top w:val="outset" w:color="auto" w:sz="6" w:space="0"/>
              <w:left w:val="outset" w:color="auto" w:sz="6" w:space="0"/>
              <w:bottom w:val="outset" w:color="auto" w:sz="6" w:space="0"/>
              <w:right w:val="outset" w:color="auto" w:sz="6" w:space="0"/>
            </w:tcBorders>
          </w:tcPr>
          <w:p w14:paraId="553B478B">
            <w:pPr>
              <w:spacing w:after="160" w:line="259" w:lineRule="auto"/>
            </w:pPr>
            <w:r>
              <w:t>2020</w:t>
            </w:r>
          </w:p>
        </w:tc>
        <w:tc>
          <w:tcPr>
            <w:tcW w:w="1061" w:type="dxa"/>
            <w:tcBorders>
              <w:top w:val="outset" w:color="auto" w:sz="6" w:space="0"/>
              <w:left w:val="outset" w:color="auto" w:sz="6" w:space="0"/>
              <w:bottom w:val="outset" w:color="auto" w:sz="6" w:space="0"/>
              <w:right w:val="outset" w:color="auto" w:sz="6" w:space="0"/>
            </w:tcBorders>
          </w:tcPr>
          <w:p w14:paraId="65220176">
            <w:pPr>
              <w:spacing w:after="160" w:line="259" w:lineRule="auto"/>
            </w:pPr>
            <w:r>
              <w:t>2021</w:t>
            </w:r>
          </w:p>
        </w:tc>
      </w:tr>
      <w:tr w14:paraId="1FA2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1201" w:type="dxa"/>
          <w:jc w:val="center"/>
        </w:trPr>
        <w:tc>
          <w:tcPr>
            <w:tcW w:w="1598" w:type="dxa"/>
            <w:tcBorders>
              <w:top w:val="nil"/>
              <w:left w:val="outset" w:color="auto" w:sz="6" w:space="0"/>
              <w:bottom w:val="outset" w:color="auto" w:sz="6" w:space="0"/>
              <w:right w:val="outset" w:color="auto" w:sz="6" w:space="0"/>
            </w:tcBorders>
          </w:tcPr>
          <w:p w14:paraId="499A9809">
            <w:pPr>
              <w:spacing w:after="160" w:line="259" w:lineRule="auto"/>
            </w:pPr>
            <w:r>
              <w:t>Indicador 1</w:t>
            </w:r>
          </w:p>
        </w:tc>
        <w:tc>
          <w:tcPr>
            <w:tcW w:w="1378" w:type="dxa"/>
            <w:tcBorders>
              <w:top w:val="nil"/>
              <w:left w:val="outset" w:color="auto" w:sz="6" w:space="0"/>
              <w:bottom w:val="outset" w:color="auto" w:sz="6" w:space="0"/>
              <w:right w:val="outset" w:color="auto" w:sz="6" w:space="0"/>
            </w:tcBorders>
          </w:tcPr>
          <w:p w14:paraId="228CC2A7">
            <w:pPr>
              <w:spacing w:after="160" w:line="259" w:lineRule="auto"/>
            </w:pPr>
            <w:r>
              <w:t>3,9%</w:t>
            </w:r>
          </w:p>
        </w:tc>
        <w:tc>
          <w:tcPr>
            <w:tcW w:w="1378" w:type="dxa"/>
            <w:tcBorders>
              <w:top w:val="nil"/>
              <w:left w:val="outset" w:color="auto" w:sz="6" w:space="0"/>
              <w:bottom w:val="outset" w:color="auto" w:sz="6" w:space="0"/>
              <w:right w:val="outset" w:color="auto" w:sz="6" w:space="0"/>
            </w:tcBorders>
          </w:tcPr>
          <w:p w14:paraId="717195A5">
            <w:pPr>
              <w:spacing w:after="160" w:line="259" w:lineRule="auto"/>
            </w:pPr>
            <w:r>
              <w:t>3,5%</w:t>
            </w:r>
          </w:p>
        </w:tc>
        <w:tc>
          <w:tcPr>
            <w:tcW w:w="1378" w:type="dxa"/>
            <w:tcBorders>
              <w:top w:val="nil"/>
              <w:left w:val="outset" w:color="auto" w:sz="6" w:space="0"/>
              <w:bottom w:val="outset" w:color="auto" w:sz="6" w:space="0"/>
              <w:right w:val="outset" w:color="auto" w:sz="6" w:space="0"/>
            </w:tcBorders>
          </w:tcPr>
          <w:p w14:paraId="33DB385D">
            <w:pPr>
              <w:spacing w:after="160" w:line="259" w:lineRule="auto"/>
            </w:pPr>
            <w:r>
              <w:t>3,8%</w:t>
            </w:r>
          </w:p>
        </w:tc>
        <w:tc>
          <w:tcPr>
            <w:tcW w:w="1378" w:type="dxa"/>
            <w:tcBorders>
              <w:top w:val="nil"/>
              <w:left w:val="outset" w:color="auto" w:sz="6" w:space="0"/>
              <w:bottom w:val="outset" w:color="auto" w:sz="6" w:space="0"/>
              <w:right w:val="outset" w:color="auto" w:sz="6" w:space="0"/>
            </w:tcBorders>
          </w:tcPr>
          <w:p w14:paraId="0A2D5590">
            <w:pPr>
              <w:spacing w:after="160" w:line="259" w:lineRule="auto"/>
            </w:pPr>
            <w:r>
              <w:t>4,7%</w:t>
            </w:r>
          </w:p>
        </w:tc>
        <w:tc>
          <w:tcPr>
            <w:tcW w:w="1338" w:type="dxa"/>
            <w:tcBorders>
              <w:top w:val="nil"/>
              <w:left w:val="outset" w:color="auto" w:sz="6" w:space="0"/>
              <w:bottom w:val="outset" w:color="auto" w:sz="6" w:space="0"/>
              <w:right w:val="outset" w:color="auto" w:sz="6" w:space="0"/>
            </w:tcBorders>
          </w:tcPr>
          <w:p w14:paraId="7175A763">
            <w:pPr>
              <w:spacing w:after="160" w:line="259" w:lineRule="auto"/>
            </w:pPr>
            <w:r>
              <w:t>4,3%</w:t>
            </w:r>
          </w:p>
        </w:tc>
        <w:tc>
          <w:tcPr>
            <w:tcW w:w="1272" w:type="dxa"/>
            <w:tcBorders>
              <w:top w:val="nil"/>
              <w:left w:val="outset" w:color="auto" w:sz="6" w:space="0"/>
              <w:bottom w:val="outset" w:color="auto" w:sz="6" w:space="0"/>
              <w:right w:val="outset" w:color="auto" w:sz="6" w:space="0"/>
            </w:tcBorders>
          </w:tcPr>
          <w:p w14:paraId="1BD68DAC">
            <w:pPr>
              <w:spacing w:after="160" w:line="259" w:lineRule="auto"/>
            </w:pPr>
            <w:r>
              <w:t>4,7%</w:t>
            </w:r>
          </w:p>
        </w:tc>
        <w:tc>
          <w:tcPr>
            <w:tcW w:w="1193" w:type="dxa"/>
            <w:tcBorders>
              <w:top w:val="nil"/>
              <w:left w:val="outset" w:color="auto" w:sz="6" w:space="0"/>
              <w:bottom w:val="outset" w:color="auto" w:sz="6" w:space="0"/>
              <w:right w:val="outset" w:color="auto" w:sz="6" w:space="0"/>
            </w:tcBorders>
          </w:tcPr>
          <w:p w14:paraId="35AB6769">
            <w:pPr>
              <w:spacing w:after="160" w:line="259" w:lineRule="auto"/>
            </w:pPr>
            <w:r>
              <w:t>3,0%</w:t>
            </w:r>
          </w:p>
        </w:tc>
        <w:tc>
          <w:tcPr>
            <w:tcW w:w="1061" w:type="dxa"/>
            <w:tcBorders>
              <w:top w:val="nil"/>
              <w:left w:val="outset" w:color="auto" w:sz="6" w:space="0"/>
              <w:bottom w:val="outset" w:color="auto" w:sz="6" w:space="0"/>
              <w:right w:val="outset" w:color="auto" w:sz="6" w:space="0"/>
            </w:tcBorders>
          </w:tcPr>
          <w:p w14:paraId="16643213">
            <w:pPr>
              <w:spacing w:after="160" w:line="259" w:lineRule="auto"/>
              <w:rPr>
                <w:rFonts w:hint="default"/>
                <w:lang w:val="pt-BR"/>
              </w:rPr>
            </w:pPr>
            <w:r>
              <w:rPr>
                <w:rFonts w:hint="default"/>
                <w:lang w:val="pt-BR"/>
              </w:rPr>
              <w:t>3,1%</w:t>
            </w:r>
          </w:p>
        </w:tc>
      </w:tr>
      <w:tr w14:paraId="7123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5" w:type="dxa"/>
            <w:gridSpan w:val="11"/>
          </w:tcPr>
          <w:p w14:paraId="5F5BC6DC">
            <w:pPr>
              <w:rPr>
                <w:rFonts w:hint="default"/>
                <w:vertAlign w:val="baseline"/>
                <w:lang w:val="pt-BR"/>
              </w:rPr>
            </w:pPr>
            <w:r>
              <w:t xml:space="preserve"> </w:t>
            </w:r>
            <w:r>
              <w:rPr>
                <w:rFonts w:hint="default"/>
                <w:vertAlign w:val="baseline"/>
                <w:lang w:val="pt-BR"/>
              </w:rPr>
              <w:t>Fonte: IPARDES - Base de Dados do Estado</w:t>
            </w:r>
          </w:p>
        </w:tc>
      </w:tr>
    </w:tbl>
    <w:p w14:paraId="6331DD63"/>
    <w:tbl>
      <w:tblPr>
        <w:tblStyle w:val="9"/>
        <w:tblW w:w="13171" w:type="dxa"/>
        <w:tblInd w:w="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
        <w:gridCol w:w="1430"/>
        <w:gridCol w:w="1274"/>
        <w:gridCol w:w="1274"/>
        <w:gridCol w:w="1274"/>
        <w:gridCol w:w="1243"/>
        <w:gridCol w:w="15"/>
        <w:gridCol w:w="16"/>
        <w:gridCol w:w="28"/>
        <w:gridCol w:w="1209"/>
        <w:gridCol w:w="1176"/>
        <w:gridCol w:w="1103"/>
        <w:gridCol w:w="981"/>
        <w:gridCol w:w="981"/>
        <w:gridCol w:w="1032"/>
        <w:gridCol w:w="22"/>
        <w:gridCol w:w="24"/>
        <w:gridCol w:w="43"/>
      </w:tblGrid>
      <w:tr w14:paraId="220D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6" w:type="dxa"/>
        </w:trPr>
        <w:tc>
          <w:tcPr>
            <w:tcW w:w="13125" w:type="dxa"/>
            <w:gridSpan w:val="17"/>
          </w:tcPr>
          <w:p w14:paraId="38693164">
            <w:pPr>
              <w:jc w:val="center"/>
              <w:rPr>
                <w:rFonts w:hint="default"/>
                <w:b/>
                <w:bCs/>
                <w:vertAlign w:val="baseline"/>
                <w:lang w:val="pt-BR"/>
              </w:rPr>
            </w:pPr>
            <w:r>
              <w:rPr>
                <w:rFonts w:hint="default"/>
                <w:b/>
                <w:bCs/>
                <w:vertAlign w:val="baseline"/>
                <w:lang w:val="pt-BR"/>
              </w:rPr>
              <w:t>Ficha metodológica para o indicador  20B  - base PNE</w:t>
            </w:r>
          </w:p>
        </w:tc>
      </w:tr>
      <w:tr w14:paraId="1B38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3"/>
          <w:wBefore w:w="46" w:type="dxa"/>
          <w:wAfter w:w="89" w:type="dxa"/>
        </w:trPr>
        <w:tc>
          <w:tcPr>
            <w:tcW w:w="6496" w:type="dxa"/>
            <w:gridSpan w:val="5"/>
            <w:tcBorders>
              <w:top w:val="outset" w:color="auto" w:sz="6" w:space="0"/>
              <w:left w:val="outset" w:color="auto" w:sz="6" w:space="0"/>
              <w:bottom w:val="outset" w:color="auto" w:sz="6" w:space="0"/>
              <w:right w:val="outset" w:color="auto" w:sz="6" w:space="0"/>
            </w:tcBorders>
          </w:tcPr>
          <w:p w14:paraId="42D3DAC9">
            <w:pPr>
              <w:spacing w:after="160" w:line="259" w:lineRule="auto"/>
              <w:rPr>
                <w:b/>
              </w:rPr>
            </w:pPr>
            <w:r>
              <w:rPr>
                <w:b/>
              </w:rPr>
              <w:t>Meta</w:t>
            </w:r>
          </w:p>
        </w:tc>
        <w:tc>
          <w:tcPr>
            <w:tcW w:w="6540" w:type="dxa"/>
            <w:gridSpan w:val="9"/>
            <w:tcBorders>
              <w:top w:val="outset" w:color="auto" w:sz="6" w:space="0"/>
              <w:left w:val="outset" w:color="auto" w:sz="6" w:space="0"/>
              <w:bottom w:val="outset" w:color="auto" w:sz="6" w:space="0"/>
              <w:right w:val="outset" w:color="auto" w:sz="6" w:space="0"/>
            </w:tcBorders>
          </w:tcPr>
          <w:p w14:paraId="57AC304B">
            <w:pPr>
              <w:spacing w:after="160" w:line="259" w:lineRule="auto"/>
              <w:rPr>
                <w:b/>
              </w:rPr>
            </w:pPr>
            <w:r>
              <w:rPr>
                <w:b/>
              </w:rPr>
              <w:t>Texto da meta</w:t>
            </w:r>
          </w:p>
        </w:tc>
      </w:tr>
      <w:tr w14:paraId="5AAB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3"/>
          <w:wBefore w:w="46" w:type="dxa"/>
          <w:wAfter w:w="89" w:type="dxa"/>
        </w:trPr>
        <w:tc>
          <w:tcPr>
            <w:tcW w:w="6496" w:type="dxa"/>
            <w:gridSpan w:val="5"/>
            <w:tcBorders>
              <w:top w:val="nil"/>
              <w:left w:val="outset" w:color="auto" w:sz="6" w:space="0"/>
              <w:bottom w:val="outset" w:color="auto" w:sz="6" w:space="0"/>
              <w:right w:val="outset" w:color="auto" w:sz="6" w:space="0"/>
            </w:tcBorders>
          </w:tcPr>
          <w:p w14:paraId="10AE30F5">
            <w:pPr>
              <w:spacing w:after="160" w:line="259" w:lineRule="auto"/>
            </w:pPr>
            <w:r>
              <w:t>20</w:t>
            </w:r>
          </w:p>
          <w:p w14:paraId="17EA74E9">
            <w:pPr>
              <w:spacing w:after="160" w:line="259" w:lineRule="auto"/>
            </w:pPr>
          </w:p>
          <w:p w14:paraId="381241C6">
            <w:pPr>
              <w:spacing w:after="160" w:line="259" w:lineRule="auto"/>
            </w:pPr>
          </w:p>
        </w:tc>
        <w:tc>
          <w:tcPr>
            <w:tcW w:w="6540" w:type="dxa"/>
            <w:gridSpan w:val="9"/>
            <w:tcBorders>
              <w:top w:val="nil"/>
              <w:left w:val="outset" w:color="auto" w:sz="6" w:space="0"/>
              <w:bottom w:val="outset" w:color="auto" w:sz="6" w:space="0"/>
              <w:right w:val="outset" w:color="auto" w:sz="6" w:space="0"/>
            </w:tcBorders>
          </w:tcPr>
          <w:p w14:paraId="274C0451">
            <w:pPr>
              <w:spacing w:after="160" w:line="259" w:lineRule="auto"/>
              <w:jc w:val="both"/>
              <w:rPr>
                <w:i/>
              </w:rPr>
            </w:pPr>
            <w:r>
              <w:rPr>
                <w:rFonts w:hint="default"/>
                <w:bCs/>
                <w:lang w:val="pt-BR"/>
              </w:rPr>
              <w:t xml:space="preserve">Ampliar </w:t>
            </w:r>
            <w:r>
              <w:rPr>
                <w:bCs/>
              </w:rPr>
              <w:t xml:space="preserve"> o investimento público em educação pública de forma a </w:t>
            </w:r>
            <w:r>
              <w:rPr>
                <w:rFonts w:hint="default"/>
                <w:bCs/>
                <w:lang w:val="pt-BR"/>
              </w:rPr>
              <w:t>atingir, no mínimo, o patamar 7% (sete por cento) do produto interno bruto - PIB do país no 5º (quito) ano de vigência desta Lei e, no mínimo, o equivalente a 10% (dez por cento) do PIB ao final do decênio.</w:t>
            </w:r>
          </w:p>
        </w:tc>
      </w:tr>
      <w:tr w14:paraId="7DF2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3"/>
          <w:wBefore w:w="46" w:type="dxa"/>
          <w:wAfter w:w="89" w:type="dxa"/>
        </w:trPr>
        <w:tc>
          <w:tcPr>
            <w:tcW w:w="6511" w:type="dxa"/>
            <w:gridSpan w:val="6"/>
            <w:tcBorders>
              <w:top w:val="outset" w:color="auto" w:sz="6" w:space="0"/>
              <w:left w:val="outset" w:color="auto" w:sz="6" w:space="0"/>
              <w:bottom w:val="outset" w:color="auto" w:sz="6" w:space="0"/>
              <w:right w:val="outset" w:color="auto" w:sz="6" w:space="0"/>
            </w:tcBorders>
          </w:tcPr>
          <w:p w14:paraId="45369FB0">
            <w:pPr>
              <w:spacing w:after="160" w:line="259" w:lineRule="auto"/>
              <w:rPr>
                <w:rFonts w:hint="default"/>
                <w:lang w:val="pt-BR"/>
              </w:rPr>
            </w:pPr>
            <w:r>
              <w:rPr>
                <w:rFonts w:hint="default"/>
                <w:lang w:val="pt-BR"/>
              </w:rPr>
              <w:t>Indicador 20B Nacional</w:t>
            </w:r>
          </w:p>
        </w:tc>
        <w:tc>
          <w:tcPr>
            <w:tcW w:w="6525" w:type="dxa"/>
            <w:gridSpan w:val="8"/>
            <w:tcBorders>
              <w:top w:val="outset" w:color="auto" w:sz="6" w:space="0"/>
              <w:left w:val="outset" w:color="auto" w:sz="6" w:space="0"/>
              <w:bottom w:val="outset" w:color="auto" w:sz="6" w:space="0"/>
              <w:right w:val="outset" w:color="auto" w:sz="6" w:space="0"/>
            </w:tcBorders>
          </w:tcPr>
          <w:p w14:paraId="3CB84EA5">
            <w:pPr>
              <w:spacing w:after="160" w:line="259" w:lineRule="auto"/>
              <w:rPr>
                <w:rFonts w:hint="default"/>
                <w:lang w:val="pt-BR"/>
              </w:rPr>
            </w:pPr>
            <w:r>
              <w:rPr>
                <w:rFonts w:hint="default"/>
                <w:lang w:val="pt-BR"/>
              </w:rPr>
              <w:t>Gasto público em proporção ao PIB</w:t>
            </w:r>
          </w:p>
        </w:tc>
      </w:tr>
      <w:tr w14:paraId="1794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3"/>
          <w:wBefore w:w="46" w:type="dxa"/>
          <w:wAfter w:w="89" w:type="dxa"/>
        </w:trPr>
        <w:tc>
          <w:tcPr>
            <w:tcW w:w="6511" w:type="dxa"/>
            <w:gridSpan w:val="6"/>
            <w:tcBorders>
              <w:top w:val="outset" w:color="auto" w:sz="6" w:space="0"/>
              <w:left w:val="outset" w:color="auto" w:sz="6" w:space="0"/>
              <w:bottom w:val="outset" w:color="auto" w:sz="6" w:space="0"/>
              <w:right w:val="outset" w:color="auto" w:sz="6" w:space="0"/>
            </w:tcBorders>
          </w:tcPr>
          <w:p w14:paraId="596135EF">
            <w:pPr>
              <w:spacing w:after="160" w:line="259" w:lineRule="auto"/>
              <w:rPr>
                <w:rFonts w:hint="default"/>
                <w:lang w:val="pt-BR"/>
              </w:rPr>
            </w:pPr>
            <w:r>
              <w:t xml:space="preserve">Indicador </w:t>
            </w:r>
            <w:r>
              <w:rPr>
                <w:rFonts w:hint="default"/>
                <w:lang w:val="pt-BR"/>
              </w:rPr>
              <w:t>20B Proposto</w:t>
            </w:r>
          </w:p>
        </w:tc>
        <w:tc>
          <w:tcPr>
            <w:tcW w:w="6525" w:type="dxa"/>
            <w:gridSpan w:val="8"/>
            <w:tcBorders>
              <w:top w:val="outset" w:color="auto" w:sz="6" w:space="0"/>
              <w:left w:val="outset" w:color="auto" w:sz="6" w:space="0"/>
              <w:bottom w:val="outset" w:color="auto" w:sz="6" w:space="0"/>
              <w:right w:val="outset" w:color="auto" w:sz="6" w:space="0"/>
            </w:tcBorders>
          </w:tcPr>
          <w:p w14:paraId="79A45A13">
            <w:pPr>
              <w:spacing w:after="160" w:line="259" w:lineRule="auto"/>
            </w:pPr>
            <w:r>
              <w:t>Percentual da despesa liquidada em educação no orçamento liquidado total.</w:t>
            </w:r>
          </w:p>
        </w:tc>
      </w:tr>
      <w:tr w14:paraId="3228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3"/>
          <w:wBefore w:w="46" w:type="dxa"/>
          <w:wAfter w:w="89" w:type="dxa"/>
        </w:trPr>
        <w:tc>
          <w:tcPr>
            <w:tcW w:w="6511" w:type="dxa"/>
            <w:gridSpan w:val="6"/>
            <w:tcBorders>
              <w:top w:val="nil"/>
              <w:left w:val="outset" w:color="auto" w:sz="6" w:space="0"/>
              <w:bottom w:val="outset" w:color="auto" w:sz="6" w:space="0"/>
              <w:right w:val="outset" w:color="auto" w:sz="6" w:space="0"/>
            </w:tcBorders>
          </w:tcPr>
          <w:p w14:paraId="4ADEE4EB">
            <w:pPr>
              <w:spacing w:after="160" w:line="259" w:lineRule="auto"/>
            </w:pPr>
            <w:r>
              <w:t>Conceitos e definições</w:t>
            </w:r>
          </w:p>
        </w:tc>
        <w:tc>
          <w:tcPr>
            <w:tcW w:w="6525" w:type="dxa"/>
            <w:gridSpan w:val="8"/>
            <w:tcBorders>
              <w:top w:val="nil"/>
              <w:left w:val="outset" w:color="auto" w:sz="6" w:space="0"/>
              <w:bottom w:val="outset" w:color="auto" w:sz="6" w:space="0"/>
              <w:right w:val="outset" w:color="auto" w:sz="6" w:space="0"/>
            </w:tcBorders>
          </w:tcPr>
          <w:p w14:paraId="10559197">
            <w:pPr>
              <w:spacing w:after="160" w:line="259" w:lineRule="auto"/>
              <w:jc w:val="both"/>
            </w:pPr>
            <w:r>
              <w:t>Mensura a participação das despesas municipais em educação no orçamento público municipal.</w:t>
            </w:r>
          </w:p>
        </w:tc>
      </w:tr>
      <w:tr w14:paraId="72E0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3"/>
          <w:wBefore w:w="46" w:type="dxa"/>
          <w:wAfter w:w="89" w:type="dxa"/>
        </w:trPr>
        <w:tc>
          <w:tcPr>
            <w:tcW w:w="6511" w:type="dxa"/>
            <w:gridSpan w:val="6"/>
            <w:tcBorders>
              <w:top w:val="nil"/>
              <w:left w:val="outset" w:color="auto" w:sz="6" w:space="0"/>
              <w:bottom w:val="outset" w:color="auto" w:sz="6" w:space="0"/>
              <w:right w:val="outset" w:color="auto" w:sz="6" w:space="0"/>
            </w:tcBorders>
          </w:tcPr>
          <w:p w14:paraId="071778BF">
            <w:pPr>
              <w:spacing w:after="160" w:line="259" w:lineRule="auto"/>
            </w:pPr>
            <w:r>
              <w:t>Fórmula de cálculo</w:t>
            </w:r>
          </w:p>
        </w:tc>
        <w:tc>
          <w:tcPr>
            <w:tcW w:w="6525" w:type="dxa"/>
            <w:gridSpan w:val="8"/>
            <w:tcBorders>
              <w:top w:val="nil"/>
              <w:left w:val="outset" w:color="auto" w:sz="6" w:space="0"/>
              <w:bottom w:val="outset" w:color="auto" w:sz="6" w:space="0"/>
              <w:right w:val="outset" w:color="auto" w:sz="6" w:space="0"/>
            </w:tcBorders>
          </w:tcPr>
          <w:p w14:paraId="108EE17A">
            <w:pPr>
              <w:spacing w:after="160" w:line="259" w:lineRule="auto"/>
              <w:jc w:val="both"/>
            </w:pPr>
            <w:r>
              <w:t>(Despesa orçamentária pública municipal em educação / Orçamento público municipal) X 100</w:t>
            </w:r>
          </w:p>
        </w:tc>
      </w:tr>
      <w:tr w14:paraId="682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gridAfter w:val="3"/>
          <w:wBefore w:w="46" w:type="dxa"/>
          <w:wAfter w:w="89" w:type="dxa"/>
        </w:trPr>
        <w:tc>
          <w:tcPr>
            <w:tcW w:w="6511" w:type="dxa"/>
            <w:gridSpan w:val="6"/>
            <w:tcBorders>
              <w:top w:val="nil"/>
              <w:left w:val="outset" w:color="auto" w:sz="6" w:space="0"/>
              <w:bottom w:val="outset" w:color="auto" w:sz="6" w:space="0"/>
              <w:right w:val="outset" w:color="auto" w:sz="6" w:space="0"/>
            </w:tcBorders>
          </w:tcPr>
          <w:p w14:paraId="6FF4BD84">
            <w:pPr>
              <w:spacing w:after="160" w:line="259" w:lineRule="auto"/>
            </w:pPr>
            <w:r>
              <w:t>Unidade de medida</w:t>
            </w:r>
          </w:p>
        </w:tc>
        <w:tc>
          <w:tcPr>
            <w:tcW w:w="6525" w:type="dxa"/>
            <w:gridSpan w:val="8"/>
            <w:tcBorders>
              <w:top w:val="nil"/>
              <w:left w:val="outset" w:color="auto" w:sz="6" w:space="0"/>
              <w:bottom w:val="outset" w:color="auto" w:sz="6" w:space="0"/>
              <w:right w:val="outset" w:color="auto" w:sz="6" w:space="0"/>
            </w:tcBorders>
          </w:tcPr>
          <w:p w14:paraId="7699F7DA">
            <w:pPr>
              <w:spacing w:after="160" w:line="259" w:lineRule="auto"/>
            </w:pPr>
            <w:r>
              <w:t>% de despesas</w:t>
            </w:r>
          </w:p>
        </w:tc>
      </w:tr>
      <w:tr w14:paraId="78FB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wBefore w:w="46" w:type="dxa"/>
        </w:trPr>
        <w:tc>
          <w:tcPr>
            <w:tcW w:w="6555" w:type="dxa"/>
            <w:gridSpan w:val="8"/>
            <w:tcBorders>
              <w:top w:val="nil"/>
              <w:left w:val="outset" w:color="auto" w:sz="6" w:space="0"/>
              <w:bottom w:val="outset" w:color="auto" w:sz="6" w:space="0"/>
              <w:right w:val="outset" w:color="auto" w:sz="6" w:space="0"/>
            </w:tcBorders>
          </w:tcPr>
          <w:p w14:paraId="7D72655C">
            <w:pPr>
              <w:jc w:val="both"/>
              <w:rPr>
                <w:rFonts w:hint="default"/>
                <w:lang w:val="pt-BR"/>
              </w:rPr>
            </w:pPr>
            <w:r>
              <w:t xml:space="preserve">  </w:t>
            </w:r>
            <w:r>
              <w:rPr>
                <w:rFonts w:hint="default"/>
                <w:lang w:val="pt-BR"/>
              </w:rPr>
              <w:t>Variáveis que compõem o indicador, suas respectivas fontes e instituições produtoras.</w:t>
            </w:r>
          </w:p>
        </w:tc>
        <w:tc>
          <w:tcPr>
            <w:tcW w:w="6570" w:type="dxa"/>
            <w:gridSpan w:val="9"/>
            <w:tcBorders>
              <w:top w:val="nil"/>
              <w:left w:val="outset" w:color="auto" w:sz="6" w:space="0"/>
              <w:bottom w:val="outset" w:color="auto" w:sz="6" w:space="0"/>
              <w:right w:val="outset" w:color="auto" w:sz="6" w:space="0"/>
            </w:tcBorders>
          </w:tcPr>
          <w:p w14:paraId="7093B027">
            <w:pPr>
              <w:spacing w:after="160" w:line="259" w:lineRule="auto"/>
              <w:jc w:val="both"/>
              <w:rPr>
                <w:rFonts w:hint="default"/>
                <w:vertAlign w:val="baseline"/>
                <w:lang w:val="pt-BR"/>
              </w:rPr>
            </w:pPr>
            <w:r>
              <w:rPr>
                <w:rFonts w:hint="default"/>
                <w:lang w:val="pt-BR"/>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5"/>
              <w:gridCol w:w="2165"/>
              <w:gridCol w:w="2165"/>
            </w:tblGrid>
            <w:tr w14:paraId="2B13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5" w:type="dxa"/>
                </w:tcPr>
                <w:p w14:paraId="410926C8">
                  <w:pPr>
                    <w:spacing w:after="160" w:line="259" w:lineRule="auto"/>
                    <w:jc w:val="center"/>
                    <w:rPr>
                      <w:rFonts w:hint="default"/>
                      <w:vertAlign w:val="baseline"/>
                      <w:lang w:val="pt-BR"/>
                    </w:rPr>
                  </w:pPr>
                  <w:r>
                    <w:rPr>
                      <w:rFonts w:hint="default"/>
                      <w:vertAlign w:val="baseline"/>
                      <w:lang w:val="pt-BR"/>
                    </w:rPr>
                    <w:t>Variáveis</w:t>
                  </w:r>
                </w:p>
              </w:tc>
              <w:tc>
                <w:tcPr>
                  <w:tcW w:w="2165" w:type="dxa"/>
                </w:tcPr>
                <w:p w14:paraId="2ACAC770">
                  <w:pPr>
                    <w:spacing w:after="160" w:line="259" w:lineRule="auto"/>
                    <w:jc w:val="center"/>
                    <w:rPr>
                      <w:rFonts w:hint="default"/>
                      <w:vertAlign w:val="baseline"/>
                      <w:lang w:val="pt-BR"/>
                    </w:rPr>
                  </w:pPr>
                  <w:r>
                    <w:rPr>
                      <w:rFonts w:hint="default"/>
                      <w:vertAlign w:val="baseline"/>
                      <w:lang w:val="pt-BR"/>
                    </w:rPr>
                    <w:t>Fontes</w:t>
                  </w:r>
                </w:p>
              </w:tc>
              <w:tc>
                <w:tcPr>
                  <w:tcW w:w="2165" w:type="dxa"/>
                </w:tcPr>
                <w:p w14:paraId="5AB5FE19">
                  <w:pPr>
                    <w:spacing w:after="160" w:line="259" w:lineRule="auto"/>
                    <w:jc w:val="center"/>
                    <w:rPr>
                      <w:rFonts w:hint="default"/>
                      <w:vertAlign w:val="baseline"/>
                      <w:lang w:val="pt-BR"/>
                    </w:rPr>
                  </w:pPr>
                  <w:r>
                    <w:rPr>
                      <w:rFonts w:hint="default"/>
                      <w:vertAlign w:val="baseline"/>
                      <w:lang w:val="pt-BR"/>
                    </w:rPr>
                    <w:t>Instituições</w:t>
                  </w:r>
                </w:p>
              </w:tc>
            </w:tr>
            <w:tr w14:paraId="6A8F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4DC348FD">
                  <w:pPr>
                    <w:spacing w:after="160" w:line="259" w:lineRule="auto"/>
                    <w:jc w:val="center"/>
                    <w:rPr>
                      <w:rFonts w:hint="default"/>
                      <w:vertAlign w:val="baseline"/>
                      <w:lang w:val="pt-BR"/>
                    </w:rPr>
                  </w:pPr>
                  <w:r>
                    <w:rPr>
                      <w:rFonts w:hint="default"/>
                      <w:vertAlign w:val="baseline"/>
                      <w:lang w:val="pt-BR"/>
                    </w:rPr>
                    <w:t>Despesas Totais</w:t>
                  </w:r>
                </w:p>
              </w:tc>
              <w:tc>
                <w:tcPr>
                  <w:tcW w:w="2165" w:type="dxa"/>
                </w:tcPr>
                <w:p w14:paraId="14810C5D">
                  <w:pPr>
                    <w:spacing w:after="160" w:line="259" w:lineRule="auto"/>
                    <w:jc w:val="center"/>
                    <w:rPr>
                      <w:rFonts w:hint="default"/>
                      <w:vertAlign w:val="baseline"/>
                      <w:lang w:val="pt-BR"/>
                    </w:rPr>
                  </w:pPr>
                  <w:r>
                    <w:rPr>
                      <w:rFonts w:hint="default"/>
                      <w:vertAlign w:val="baseline"/>
                      <w:lang w:val="pt-BR"/>
                    </w:rPr>
                    <w:t>Base de dados do Estado</w:t>
                  </w:r>
                </w:p>
              </w:tc>
              <w:tc>
                <w:tcPr>
                  <w:tcW w:w="2165" w:type="dxa"/>
                </w:tcPr>
                <w:p w14:paraId="34619D78">
                  <w:pPr>
                    <w:spacing w:after="160" w:line="259" w:lineRule="auto"/>
                    <w:jc w:val="center"/>
                    <w:rPr>
                      <w:rFonts w:hint="default"/>
                      <w:vertAlign w:val="baseline"/>
                      <w:lang w:val="pt-BR"/>
                    </w:rPr>
                  </w:pPr>
                  <w:r>
                    <w:rPr>
                      <w:rFonts w:hint="default"/>
                      <w:vertAlign w:val="baseline"/>
                      <w:lang w:val="pt-BR"/>
                    </w:rPr>
                    <w:t>IPARDES</w:t>
                  </w:r>
                </w:p>
              </w:tc>
            </w:tr>
            <w:tr w14:paraId="297E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4A4716A4">
                  <w:pPr>
                    <w:spacing w:after="160" w:line="259" w:lineRule="auto"/>
                    <w:jc w:val="center"/>
                    <w:rPr>
                      <w:rFonts w:hint="default"/>
                      <w:vertAlign w:val="baseline"/>
                      <w:lang w:val="pt-BR"/>
                    </w:rPr>
                  </w:pPr>
                  <w:r>
                    <w:rPr>
                      <w:rFonts w:hint="default"/>
                      <w:vertAlign w:val="baseline"/>
                      <w:lang w:val="pt-BR"/>
                    </w:rPr>
                    <w:t>Despesas por Função - Educação</w:t>
                  </w:r>
                </w:p>
              </w:tc>
              <w:tc>
                <w:tcPr>
                  <w:tcW w:w="2165" w:type="dxa"/>
                </w:tcPr>
                <w:p w14:paraId="2938D39B">
                  <w:pPr>
                    <w:spacing w:after="160" w:line="259" w:lineRule="auto"/>
                    <w:jc w:val="center"/>
                    <w:rPr>
                      <w:rFonts w:hint="default"/>
                      <w:vertAlign w:val="baseline"/>
                      <w:lang w:val="pt-BR"/>
                    </w:rPr>
                  </w:pPr>
                  <w:r>
                    <w:rPr>
                      <w:rFonts w:hint="default"/>
                      <w:vertAlign w:val="baseline"/>
                      <w:lang w:val="pt-BR"/>
                    </w:rPr>
                    <w:t>Base de dados do Estado</w:t>
                  </w:r>
                </w:p>
              </w:tc>
              <w:tc>
                <w:tcPr>
                  <w:tcW w:w="2165" w:type="dxa"/>
                </w:tcPr>
                <w:p w14:paraId="7A1B8C97">
                  <w:pPr>
                    <w:spacing w:after="160" w:line="259" w:lineRule="auto"/>
                    <w:jc w:val="center"/>
                    <w:rPr>
                      <w:rFonts w:hint="default"/>
                      <w:vertAlign w:val="baseline"/>
                      <w:lang w:val="pt-BR"/>
                    </w:rPr>
                  </w:pPr>
                  <w:r>
                    <w:rPr>
                      <w:rFonts w:hint="default"/>
                      <w:vertAlign w:val="baseline"/>
                      <w:lang w:val="pt-BR"/>
                    </w:rPr>
                    <w:t>IPARDES</w:t>
                  </w:r>
                </w:p>
              </w:tc>
            </w:tr>
          </w:tbl>
          <w:p w14:paraId="2B0AE4BA">
            <w:pPr>
              <w:spacing w:after="160" w:line="259" w:lineRule="auto"/>
              <w:jc w:val="both"/>
              <w:rPr>
                <w:rFonts w:hint="default"/>
                <w:lang w:val="pt-BR"/>
              </w:rPr>
            </w:pPr>
          </w:p>
        </w:tc>
      </w:tr>
      <w:tr w14:paraId="3FC5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wBefore w:w="46" w:type="dxa"/>
        </w:trPr>
        <w:tc>
          <w:tcPr>
            <w:tcW w:w="6555" w:type="dxa"/>
            <w:gridSpan w:val="8"/>
            <w:tcBorders>
              <w:top w:val="nil"/>
              <w:left w:val="outset" w:color="auto" w:sz="6" w:space="0"/>
              <w:bottom w:val="outset" w:color="auto" w:sz="6" w:space="0"/>
              <w:right w:val="outset" w:color="auto" w:sz="6" w:space="0"/>
            </w:tcBorders>
          </w:tcPr>
          <w:p w14:paraId="0D69A1EE">
            <w:pPr>
              <w:spacing w:after="160" w:line="259" w:lineRule="auto"/>
              <w:rPr>
                <w:rFonts w:hint="default"/>
                <w:lang w:val="pt-BR"/>
              </w:rPr>
            </w:pPr>
            <w:r>
              <w:rPr>
                <w:rFonts w:hint="default"/>
                <w:lang w:val="pt-BR"/>
              </w:rPr>
              <w:t>Níveis de Desagregação</w:t>
            </w:r>
          </w:p>
        </w:tc>
        <w:tc>
          <w:tcPr>
            <w:tcW w:w="6570" w:type="dxa"/>
            <w:gridSpan w:val="9"/>
            <w:tcBorders>
              <w:top w:val="nil"/>
              <w:left w:val="outset" w:color="auto" w:sz="6" w:space="0"/>
              <w:bottom w:val="outset" w:color="auto" w:sz="6" w:space="0"/>
              <w:right w:val="outset" w:color="auto" w:sz="6" w:space="0"/>
            </w:tcBorders>
          </w:tcPr>
          <w:p w14:paraId="76319BBB">
            <w:pPr>
              <w:spacing w:after="160" w:line="259" w:lineRule="auto"/>
              <w:jc w:val="center"/>
              <w:rPr>
                <w:rFonts w:hint="default"/>
                <w:lang w:val="pt-BR"/>
              </w:rPr>
            </w:pPr>
            <w:r>
              <w:rPr>
                <w:rFonts w:hint="default"/>
                <w:lang w:val="pt-BR"/>
              </w:rPr>
              <w:t>Estados e Municípios</w:t>
            </w:r>
          </w:p>
        </w:tc>
      </w:tr>
      <w:tr w14:paraId="1EE6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wBefore w:w="46" w:type="dxa"/>
        </w:trPr>
        <w:tc>
          <w:tcPr>
            <w:tcW w:w="6555" w:type="dxa"/>
            <w:gridSpan w:val="8"/>
            <w:tcBorders>
              <w:top w:val="nil"/>
              <w:left w:val="outset" w:color="auto" w:sz="6" w:space="0"/>
              <w:bottom w:val="outset" w:color="auto" w:sz="6" w:space="0"/>
              <w:right w:val="outset" w:color="auto" w:sz="6" w:space="0"/>
            </w:tcBorders>
          </w:tcPr>
          <w:p w14:paraId="78E84816">
            <w:pPr>
              <w:spacing w:after="160" w:line="259" w:lineRule="auto"/>
              <w:rPr>
                <w:rFonts w:hint="default"/>
                <w:lang w:val="pt-BR"/>
              </w:rPr>
            </w:pPr>
            <w:r>
              <w:rPr>
                <w:rFonts w:hint="default"/>
                <w:lang w:val="pt-BR"/>
              </w:rPr>
              <w:t>Periodicidade de atualização</w:t>
            </w:r>
          </w:p>
        </w:tc>
        <w:tc>
          <w:tcPr>
            <w:tcW w:w="6570" w:type="dxa"/>
            <w:gridSpan w:val="9"/>
            <w:tcBorders>
              <w:top w:val="nil"/>
              <w:left w:val="outset" w:color="auto" w:sz="6" w:space="0"/>
              <w:bottom w:val="outset" w:color="auto" w:sz="6" w:space="0"/>
              <w:right w:val="outset" w:color="auto" w:sz="6" w:space="0"/>
            </w:tcBorders>
          </w:tcPr>
          <w:p w14:paraId="3A332608">
            <w:pPr>
              <w:spacing w:after="160" w:line="259" w:lineRule="auto"/>
              <w:jc w:val="center"/>
              <w:rPr>
                <w:rFonts w:hint="default"/>
                <w:lang w:val="pt-BR"/>
              </w:rPr>
            </w:pPr>
            <w:r>
              <w:rPr>
                <w:rFonts w:hint="default"/>
                <w:lang w:val="pt-BR"/>
              </w:rPr>
              <w:t>Anual</w:t>
            </w:r>
          </w:p>
        </w:tc>
      </w:tr>
      <w:tr w14:paraId="64BA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wBefore w:w="46" w:type="dxa"/>
        </w:trPr>
        <w:tc>
          <w:tcPr>
            <w:tcW w:w="6555" w:type="dxa"/>
            <w:gridSpan w:val="8"/>
            <w:tcBorders>
              <w:top w:val="nil"/>
              <w:left w:val="outset" w:color="auto" w:sz="6" w:space="0"/>
              <w:bottom w:val="outset" w:color="auto" w:sz="6" w:space="0"/>
              <w:right w:val="outset" w:color="auto" w:sz="6" w:space="0"/>
            </w:tcBorders>
          </w:tcPr>
          <w:p w14:paraId="5E0B2147">
            <w:pPr>
              <w:spacing w:after="160" w:line="259" w:lineRule="auto"/>
              <w:rPr>
                <w:rFonts w:hint="default"/>
                <w:lang w:val="pt-BR"/>
              </w:rPr>
            </w:pPr>
            <w:r>
              <w:rPr>
                <w:rFonts w:hint="default"/>
                <w:lang w:val="pt-BR"/>
              </w:rPr>
              <w:t>Desvantagens</w:t>
            </w:r>
          </w:p>
        </w:tc>
        <w:tc>
          <w:tcPr>
            <w:tcW w:w="6570" w:type="dxa"/>
            <w:gridSpan w:val="9"/>
            <w:tcBorders>
              <w:top w:val="nil"/>
              <w:left w:val="outset" w:color="auto" w:sz="6" w:space="0"/>
              <w:bottom w:val="outset" w:color="auto" w:sz="6" w:space="0"/>
              <w:right w:val="outset" w:color="auto" w:sz="6" w:space="0"/>
            </w:tcBorders>
          </w:tcPr>
          <w:p w14:paraId="1911DC71">
            <w:pPr>
              <w:numPr>
                <w:ilvl w:val="0"/>
                <w:numId w:val="4"/>
              </w:numPr>
              <w:spacing w:after="160" w:line="259" w:lineRule="auto"/>
              <w:jc w:val="both"/>
              <w:rPr>
                <w:rFonts w:hint="default"/>
                <w:lang w:val="pt-BR"/>
              </w:rPr>
            </w:pPr>
            <w:r>
              <w:rPr>
                <w:rFonts w:hint="default"/>
                <w:lang w:val="pt-BR"/>
              </w:rPr>
              <w:t xml:space="preserve">Não segue a fonte oficial de dados sugeridas pelo INEP, devido a dificuldade de localização de dados referente a recursos federais e estaduais, das diferentes fontes e transferências, de forma a não contabilizar de forma duplicada no município. Assim não contempla a totalidade dos recursos públicos investidos em educação; </w:t>
            </w:r>
          </w:p>
        </w:tc>
      </w:tr>
      <w:tr w14:paraId="55B4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Before w:val="1"/>
          <w:wBefore w:w="46" w:type="dxa"/>
        </w:trPr>
        <w:tc>
          <w:tcPr>
            <w:tcW w:w="6555" w:type="dxa"/>
            <w:gridSpan w:val="8"/>
            <w:tcBorders>
              <w:top w:val="nil"/>
              <w:left w:val="outset" w:color="auto" w:sz="6" w:space="0"/>
              <w:bottom w:val="outset" w:color="auto" w:sz="6" w:space="0"/>
              <w:right w:val="outset" w:color="auto" w:sz="6" w:space="0"/>
            </w:tcBorders>
          </w:tcPr>
          <w:p w14:paraId="72994EB1">
            <w:pPr>
              <w:spacing w:after="160" w:line="259" w:lineRule="auto"/>
              <w:rPr>
                <w:rFonts w:hint="default"/>
                <w:lang w:val="pt-BR"/>
              </w:rPr>
            </w:pPr>
            <w:r>
              <w:rPr>
                <w:rFonts w:hint="default"/>
                <w:lang w:val="pt-BR"/>
              </w:rPr>
              <w:t>Vantagens</w:t>
            </w:r>
          </w:p>
        </w:tc>
        <w:tc>
          <w:tcPr>
            <w:tcW w:w="6570" w:type="dxa"/>
            <w:gridSpan w:val="9"/>
            <w:tcBorders>
              <w:top w:val="nil"/>
              <w:left w:val="outset" w:color="auto" w:sz="6" w:space="0"/>
              <w:bottom w:val="outset" w:color="auto" w:sz="6" w:space="0"/>
              <w:right w:val="outset" w:color="auto" w:sz="6" w:space="0"/>
            </w:tcBorders>
          </w:tcPr>
          <w:p w14:paraId="7D83F12F">
            <w:pPr>
              <w:spacing w:after="160" w:line="259" w:lineRule="auto"/>
              <w:jc w:val="both"/>
              <w:rPr>
                <w:rFonts w:hint="default"/>
                <w:lang w:val="pt-BR"/>
              </w:rPr>
            </w:pPr>
            <w:r>
              <w:rPr>
                <w:rFonts w:hint="default"/>
                <w:lang w:val="pt-BR"/>
              </w:rPr>
              <w:t>Proporciona acompanhar o desempenho das despesas municipais públicas</w:t>
            </w:r>
          </w:p>
        </w:tc>
      </w:tr>
      <w:tr w14:paraId="05FC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88" w:type="dxa"/>
          <w:jc w:val="center"/>
        </w:trPr>
        <w:tc>
          <w:tcPr>
            <w:tcW w:w="13083" w:type="dxa"/>
            <w:gridSpan w:val="15"/>
          </w:tcPr>
          <w:p w14:paraId="49120851">
            <w:pPr>
              <w:jc w:val="center"/>
              <w:rPr>
                <w:rFonts w:hint="default"/>
                <w:b/>
                <w:bCs/>
                <w:vertAlign w:val="baseline"/>
                <w:lang w:val="pt-BR"/>
              </w:rPr>
            </w:pPr>
            <w:r>
              <w:rPr>
                <w:rFonts w:hint="default"/>
                <w:b/>
                <w:bCs/>
                <w:vertAlign w:val="baseline"/>
                <w:lang w:val="pt-BR"/>
              </w:rPr>
              <w:t>Dados/Indicadores: Indicador 20B</w:t>
            </w:r>
          </w:p>
        </w:tc>
      </w:tr>
      <w:tr w14:paraId="454F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66" w:type="dxa"/>
          <w:jc w:val="center"/>
        </w:trPr>
        <w:tc>
          <w:tcPr>
            <w:tcW w:w="1477" w:type="dxa"/>
            <w:gridSpan w:val="2"/>
            <w:tcBorders>
              <w:top w:val="outset" w:color="auto" w:sz="6" w:space="0"/>
              <w:left w:val="outset" w:color="auto" w:sz="6" w:space="0"/>
              <w:bottom w:val="outset" w:color="auto" w:sz="6" w:space="0"/>
              <w:right w:val="outset" w:color="auto" w:sz="6" w:space="0"/>
            </w:tcBorders>
          </w:tcPr>
          <w:p w14:paraId="3C36A189">
            <w:pPr>
              <w:spacing w:after="160" w:line="259" w:lineRule="auto"/>
              <w:rPr>
                <w:rFonts w:hint="default"/>
                <w:lang w:val="pt-BR"/>
              </w:rPr>
            </w:pPr>
            <w:r>
              <w:rPr>
                <w:rFonts w:hint="default"/>
                <w:lang w:val="pt-BR"/>
              </w:rPr>
              <w:t xml:space="preserve">Ano </w:t>
            </w:r>
          </w:p>
        </w:tc>
        <w:tc>
          <w:tcPr>
            <w:tcW w:w="1274" w:type="dxa"/>
            <w:tcBorders>
              <w:top w:val="outset" w:color="auto" w:sz="6" w:space="0"/>
              <w:left w:val="outset" w:color="auto" w:sz="6" w:space="0"/>
              <w:bottom w:val="outset" w:color="auto" w:sz="6" w:space="0"/>
              <w:right w:val="outset" w:color="auto" w:sz="6" w:space="0"/>
            </w:tcBorders>
          </w:tcPr>
          <w:p w14:paraId="28C0780B">
            <w:pPr>
              <w:spacing w:after="160" w:line="259" w:lineRule="auto"/>
            </w:pPr>
            <w:r>
              <w:t>2014</w:t>
            </w:r>
          </w:p>
        </w:tc>
        <w:tc>
          <w:tcPr>
            <w:tcW w:w="1274" w:type="dxa"/>
            <w:tcBorders>
              <w:top w:val="outset" w:color="auto" w:sz="6" w:space="0"/>
              <w:left w:val="outset" w:color="auto" w:sz="6" w:space="0"/>
              <w:bottom w:val="outset" w:color="auto" w:sz="6" w:space="0"/>
              <w:right w:val="outset" w:color="auto" w:sz="6" w:space="0"/>
            </w:tcBorders>
          </w:tcPr>
          <w:p w14:paraId="4798A343">
            <w:pPr>
              <w:spacing w:after="160" w:line="259" w:lineRule="auto"/>
            </w:pPr>
            <w:r>
              <w:t>2015</w:t>
            </w:r>
          </w:p>
        </w:tc>
        <w:tc>
          <w:tcPr>
            <w:tcW w:w="1274" w:type="dxa"/>
            <w:tcBorders>
              <w:top w:val="outset" w:color="auto" w:sz="6" w:space="0"/>
              <w:left w:val="outset" w:color="auto" w:sz="6" w:space="0"/>
              <w:bottom w:val="outset" w:color="auto" w:sz="6" w:space="0"/>
              <w:right w:val="outset" w:color="auto" w:sz="6" w:space="0"/>
            </w:tcBorders>
          </w:tcPr>
          <w:p w14:paraId="5FAA55E5">
            <w:pPr>
              <w:spacing w:after="160" w:line="259" w:lineRule="auto"/>
            </w:pPr>
            <w:r>
              <w:t>2016</w:t>
            </w:r>
          </w:p>
        </w:tc>
        <w:tc>
          <w:tcPr>
            <w:tcW w:w="1274" w:type="dxa"/>
            <w:gridSpan w:val="3"/>
            <w:tcBorders>
              <w:top w:val="outset" w:color="auto" w:sz="6" w:space="0"/>
              <w:left w:val="outset" w:color="auto" w:sz="6" w:space="0"/>
              <w:bottom w:val="outset" w:color="auto" w:sz="6" w:space="0"/>
              <w:right w:val="outset" w:color="auto" w:sz="6" w:space="0"/>
            </w:tcBorders>
          </w:tcPr>
          <w:p w14:paraId="3E03663E">
            <w:pPr>
              <w:spacing w:after="160" w:line="259" w:lineRule="auto"/>
            </w:pPr>
            <w:r>
              <w:t>2017</w:t>
            </w:r>
          </w:p>
        </w:tc>
        <w:tc>
          <w:tcPr>
            <w:tcW w:w="1237" w:type="dxa"/>
            <w:gridSpan w:val="2"/>
            <w:tcBorders>
              <w:top w:val="outset" w:color="auto" w:sz="6" w:space="0"/>
              <w:left w:val="outset" w:color="auto" w:sz="6" w:space="0"/>
              <w:bottom w:val="outset" w:color="auto" w:sz="6" w:space="0"/>
              <w:right w:val="outset" w:color="auto" w:sz="6" w:space="0"/>
            </w:tcBorders>
          </w:tcPr>
          <w:p w14:paraId="74153656">
            <w:pPr>
              <w:spacing w:after="160" w:line="259" w:lineRule="auto"/>
            </w:pPr>
            <w:r>
              <w:t>2018</w:t>
            </w:r>
          </w:p>
        </w:tc>
        <w:tc>
          <w:tcPr>
            <w:tcW w:w="1176" w:type="dxa"/>
            <w:tcBorders>
              <w:top w:val="outset" w:color="auto" w:sz="6" w:space="0"/>
              <w:left w:val="outset" w:color="auto" w:sz="6" w:space="0"/>
              <w:bottom w:val="outset" w:color="auto" w:sz="6" w:space="0"/>
              <w:right w:val="outset" w:color="auto" w:sz="6" w:space="0"/>
            </w:tcBorders>
          </w:tcPr>
          <w:p w14:paraId="06013EDD">
            <w:pPr>
              <w:spacing w:after="160" w:line="259" w:lineRule="auto"/>
            </w:pPr>
            <w:r>
              <w:t>2019</w:t>
            </w:r>
          </w:p>
        </w:tc>
        <w:tc>
          <w:tcPr>
            <w:tcW w:w="1103" w:type="dxa"/>
            <w:tcBorders>
              <w:top w:val="outset" w:color="auto" w:sz="6" w:space="0"/>
              <w:left w:val="outset" w:color="auto" w:sz="6" w:space="0"/>
              <w:bottom w:val="outset" w:color="auto" w:sz="6" w:space="0"/>
              <w:right w:val="outset" w:color="auto" w:sz="6" w:space="0"/>
            </w:tcBorders>
          </w:tcPr>
          <w:p w14:paraId="20056C3F">
            <w:pPr>
              <w:spacing w:after="160" w:line="259" w:lineRule="auto"/>
            </w:pPr>
            <w:r>
              <w:t>2020</w:t>
            </w:r>
          </w:p>
        </w:tc>
        <w:tc>
          <w:tcPr>
            <w:tcW w:w="981" w:type="dxa"/>
            <w:tcBorders>
              <w:top w:val="outset" w:color="auto" w:sz="6" w:space="0"/>
              <w:left w:val="outset" w:color="auto" w:sz="6" w:space="0"/>
              <w:bottom w:val="outset" w:color="auto" w:sz="6" w:space="0"/>
              <w:right w:val="outset" w:color="auto" w:sz="6" w:space="0"/>
            </w:tcBorders>
          </w:tcPr>
          <w:p w14:paraId="53707F6D">
            <w:pPr>
              <w:spacing w:after="160" w:line="259" w:lineRule="auto"/>
            </w:pPr>
            <w:r>
              <w:t>2021</w:t>
            </w:r>
          </w:p>
        </w:tc>
        <w:tc>
          <w:tcPr>
            <w:tcW w:w="981" w:type="dxa"/>
            <w:tcBorders>
              <w:top w:val="outset" w:color="auto" w:sz="6" w:space="0"/>
              <w:left w:val="outset" w:color="auto" w:sz="6" w:space="0"/>
              <w:bottom w:val="outset" w:color="auto" w:sz="6" w:space="0"/>
              <w:right w:val="outset" w:color="auto" w:sz="6" w:space="0"/>
            </w:tcBorders>
          </w:tcPr>
          <w:p w14:paraId="4B5D9687">
            <w:pPr>
              <w:spacing w:after="160" w:line="259" w:lineRule="auto"/>
            </w:pPr>
            <w:r>
              <w:t>2022</w:t>
            </w:r>
          </w:p>
        </w:tc>
        <w:tc>
          <w:tcPr>
            <w:tcW w:w="1054" w:type="dxa"/>
            <w:gridSpan w:val="2"/>
            <w:tcBorders>
              <w:top w:val="outset" w:color="auto" w:sz="6" w:space="0"/>
              <w:left w:val="outset" w:color="auto" w:sz="6" w:space="0"/>
              <w:bottom w:val="outset" w:color="auto" w:sz="6" w:space="0"/>
              <w:right w:val="outset" w:color="auto" w:sz="6" w:space="0"/>
            </w:tcBorders>
          </w:tcPr>
          <w:p w14:paraId="6AF38D7D">
            <w:pPr>
              <w:spacing w:after="160" w:line="259" w:lineRule="auto"/>
              <w:rPr>
                <w:rFonts w:hint="default"/>
                <w:lang w:val="pt-BR"/>
              </w:rPr>
            </w:pPr>
            <w:r>
              <w:rPr>
                <w:rFonts w:hint="default"/>
                <w:lang w:val="pt-BR"/>
              </w:rPr>
              <w:t>2023</w:t>
            </w:r>
          </w:p>
        </w:tc>
      </w:tr>
      <w:tr w14:paraId="6DD7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66" w:type="dxa"/>
          <w:jc w:val="center"/>
        </w:trPr>
        <w:tc>
          <w:tcPr>
            <w:tcW w:w="1477" w:type="dxa"/>
            <w:gridSpan w:val="2"/>
            <w:tcBorders>
              <w:top w:val="nil"/>
              <w:left w:val="outset" w:color="auto" w:sz="6" w:space="0"/>
              <w:bottom w:val="outset" w:color="auto" w:sz="6" w:space="0"/>
              <w:right w:val="outset" w:color="auto" w:sz="6" w:space="0"/>
            </w:tcBorders>
          </w:tcPr>
          <w:p w14:paraId="14F16A56">
            <w:pPr>
              <w:spacing w:after="160" w:line="259" w:lineRule="auto"/>
            </w:pPr>
            <w:r>
              <w:t>Indicador 2</w:t>
            </w:r>
          </w:p>
        </w:tc>
        <w:tc>
          <w:tcPr>
            <w:tcW w:w="1274" w:type="dxa"/>
            <w:tcBorders>
              <w:top w:val="nil"/>
              <w:left w:val="outset" w:color="auto" w:sz="6" w:space="0"/>
              <w:bottom w:val="outset" w:color="auto" w:sz="6" w:space="0"/>
              <w:right w:val="outset" w:color="auto" w:sz="6" w:space="0"/>
            </w:tcBorders>
          </w:tcPr>
          <w:p w14:paraId="69E09354">
            <w:pPr>
              <w:spacing w:after="160" w:line="259" w:lineRule="auto"/>
            </w:pPr>
            <w:r>
              <w:t>20,0%</w:t>
            </w:r>
          </w:p>
        </w:tc>
        <w:tc>
          <w:tcPr>
            <w:tcW w:w="1274" w:type="dxa"/>
            <w:tcBorders>
              <w:top w:val="nil"/>
              <w:left w:val="outset" w:color="auto" w:sz="6" w:space="0"/>
              <w:bottom w:val="outset" w:color="auto" w:sz="6" w:space="0"/>
              <w:right w:val="outset" w:color="auto" w:sz="6" w:space="0"/>
            </w:tcBorders>
          </w:tcPr>
          <w:p w14:paraId="4003DE3A">
            <w:pPr>
              <w:spacing w:after="160" w:line="259" w:lineRule="auto"/>
            </w:pPr>
            <w:r>
              <w:t>19,5%</w:t>
            </w:r>
          </w:p>
        </w:tc>
        <w:tc>
          <w:tcPr>
            <w:tcW w:w="1274" w:type="dxa"/>
            <w:tcBorders>
              <w:top w:val="nil"/>
              <w:left w:val="outset" w:color="auto" w:sz="6" w:space="0"/>
              <w:bottom w:val="outset" w:color="auto" w:sz="6" w:space="0"/>
              <w:right w:val="outset" w:color="auto" w:sz="6" w:space="0"/>
            </w:tcBorders>
          </w:tcPr>
          <w:p w14:paraId="571B2C9B">
            <w:pPr>
              <w:spacing w:after="160" w:line="259" w:lineRule="auto"/>
            </w:pPr>
            <w:r>
              <w:t>20,8%</w:t>
            </w:r>
          </w:p>
        </w:tc>
        <w:tc>
          <w:tcPr>
            <w:tcW w:w="1274" w:type="dxa"/>
            <w:gridSpan w:val="3"/>
            <w:tcBorders>
              <w:top w:val="nil"/>
              <w:left w:val="outset" w:color="auto" w:sz="6" w:space="0"/>
              <w:bottom w:val="outset" w:color="auto" w:sz="6" w:space="0"/>
              <w:right w:val="outset" w:color="auto" w:sz="6" w:space="0"/>
            </w:tcBorders>
          </w:tcPr>
          <w:p w14:paraId="5C6F2B84">
            <w:pPr>
              <w:spacing w:after="160" w:line="259" w:lineRule="auto"/>
            </w:pPr>
            <w:r>
              <w:t>23,5%</w:t>
            </w:r>
          </w:p>
        </w:tc>
        <w:tc>
          <w:tcPr>
            <w:tcW w:w="1237" w:type="dxa"/>
            <w:gridSpan w:val="2"/>
            <w:tcBorders>
              <w:top w:val="nil"/>
              <w:left w:val="outset" w:color="auto" w:sz="6" w:space="0"/>
              <w:bottom w:val="outset" w:color="auto" w:sz="6" w:space="0"/>
              <w:right w:val="outset" w:color="auto" w:sz="6" w:space="0"/>
            </w:tcBorders>
          </w:tcPr>
          <w:p w14:paraId="33151C3F">
            <w:pPr>
              <w:spacing w:after="160" w:line="259" w:lineRule="auto"/>
            </w:pPr>
            <w:r>
              <w:t>20,4%</w:t>
            </w:r>
          </w:p>
        </w:tc>
        <w:tc>
          <w:tcPr>
            <w:tcW w:w="1176" w:type="dxa"/>
            <w:tcBorders>
              <w:top w:val="nil"/>
              <w:left w:val="outset" w:color="auto" w:sz="6" w:space="0"/>
              <w:bottom w:val="outset" w:color="auto" w:sz="6" w:space="0"/>
              <w:right w:val="outset" w:color="auto" w:sz="6" w:space="0"/>
            </w:tcBorders>
          </w:tcPr>
          <w:p w14:paraId="1510328F">
            <w:pPr>
              <w:spacing w:after="160" w:line="259" w:lineRule="auto"/>
            </w:pPr>
            <w:r>
              <w:t>21,4%</w:t>
            </w:r>
          </w:p>
        </w:tc>
        <w:tc>
          <w:tcPr>
            <w:tcW w:w="1103" w:type="dxa"/>
            <w:tcBorders>
              <w:top w:val="nil"/>
              <w:left w:val="outset" w:color="auto" w:sz="6" w:space="0"/>
              <w:bottom w:val="outset" w:color="auto" w:sz="6" w:space="0"/>
              <w:right w:val="outset" w:color="auto" w:sz="6" w:space="0"/>
            </w:tcBorders>
          </w:tcPr>
          <w:p w14:paraId="5108C784">
            <w:pPr>
              <w:spacing w:after="160" w:line="259" w:lineRule="auto"/>
            </w:pPr>
            <w:r>
              <w:t>15,7%</w:t>
            </w:r>
          </w:p>
        </w:tc>
        <w:tc>
          <w:tcPr>
            <w:tcW w:w="981" w:type="dxa"/>
            <w:tcBorders>
              <w:top w:val="nil"/>
              <w:left w:val="outset" w:color="auto" w:sz="6" w:space="0"/>
              <w:bottom w:val="outset" w:color="auto" w:sz="6" w:space="0"/>
              <w:right w:val="outset" w:color="auto" w:sz="6" w:space="0"/>
            </w:tcBorders>
          </w:tcPr>
          <w:p w14:paraId="5632CCFF">
            <w:pPr>
              <w:spacing w:after="160" w:line="259" w:lineRule="auto"/>
            </w:pPr>
            <w:r>
              <w:t>16,8%</w:t>
            </w:r>
          </w:p>
        </w:tc>
        <w:tc>
          <w:tcPr>
            <w:tcW w:w="981" w:type="dxa"/>
            <w:tcBorders>
              <w:top w:val="nil"/>
              <w:left w:val="outset" w:color="auto" w:sz="6" w:space="0"/>
              <w:bottom w:val="outset" w:color="auto" w:sz="6" w:space="0"/>
              <w:right w:val="outset" w:color="auto" w:sz="6" w:space="0"/>
            </w:tcBorders>
          </w:tcPr>
          <w:p w14:paraId="1B1BBE29">
            <w:pPr>
              <w:spacing w:after="160" w:line="259" w:lineRule="auto"/>
            </w:pPr>
            <w:r>
              <w:t>20,4%</w:t>
            </w:r>
          </w:p>
        </w:tc>
        <w:tc>
          <w:tcPr>
            <w:tcW w:w="1054" w:type="dxa"/>
            <w:gridSpan w:val="2"/>
            <w:tcBorders>
              <w:top w:val="nil"/>
              <w:left w:val="outset" w:color="auto" w:sz="6" w:space="0"/>
              <w:bottom w:val="outset" w:color="auto" w:sz="6" w:space="0"/>
              <w:right w:val="outset" w:color="auto" w:sz="6" w:space="0"/>
            </w:tcBorders>
          </w:tcPr>
          <w:p w14:paraId="356FF1E5">
            <w:pPr>
              <w:spacing w:after="160" w:line="259" w:lineRule="auto"/>
              <w:rPr>
                <w:rFonts w:hint="default"/>
                <w:lang w:val="pt-BR"/>
              </w:rPr>
            </w:pPr>
            <w:r>
              <w:rPr>
                <w:rFonts w:hint="default"/>
                <w:lang w:val="pt-BR"/>
              </w:rPr>
              <w:t>19,7%</w:t>
            </w:r>
          </w:p>
        </w:tc>
      </w:tr>
      <w:tr w14:paraId="3C9E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 w:type="dxa"/>
          <w:jc w:val="center"/>
        </w:trPr>
        <w:tc>
          <w:tcPr>
            <w:tcW w:w="13129" w:type="dxa"/>
            <w:gridSpan w:val="17"/>
          </w:tcPr>
          <w:p w14:paraId="7F1D041A">
            <w:pPr>
              <w:rPr>
                <w:rFonts w:hint="default"/>
                <w:vertAlign w:val="baseline"/>
                <w:lang w:val="pt-BR"/>
              </w:rPr>
            </w:pPr>
            <w:r>
              <w:t xml:space="preserve">  </w:t>
            </w:r>
            <w:r>
              <w:rPr>
                <w:rFonts w:hint="default"/>
                <w:vertAlign w:val="baseline"/>
                <w:lang w:val="pt-BR"/>
              </w:rPr>
              <w:t>Fonte: IPARDES - Base de Dados do Estado</w:t>
            </w:r>
          </w:p>
        </w:tc>
      </w:tr>
    </w:tbl>
    <w:p w14:paraId="7D637C94">
      <w:pPr>
        <w:spacing w:line="360" w:lineRule="auto"/>
        <w:ind w:firstLine="708" w:firstLineChars="0"/>
        <w:jc w:val="both"/>
        <w:rPr>
          <w:color w:val="auto"/>
        </w:rPr>
      </w:pPr>
    </w:p>
    <w:p w14:paraId="7163BD9F">
      <w:pPr>
        <w:spacing w:line="360" w:lineRule="auto"/>
        <w:ind w:firstLine="708" w:firstLineChars="0"/>
        <w:jc w:val="both"/>
        <w:rPr>
          <w:b/>
          <w:color w:val="auto"/>
        </w:rPr>
      </w:pPr>
      <w:r>
        <w:rPr>
          <w:color w:val="auto"/>
        </w:rPr>
        <w:t xml:space="preserve">O Município de Nova Esperança do Sudoeste investe na Educação, valores superiores ao previsto no PME. Segundo Fonte de Dados do </w:t>
      </w:r>
      <w:r>
        <w:rPr>
          <w:rFonts w:hint="default"/>
          <w:color w:val="auto"/>
          <w:lang w:val="pt-BR"/>
        </w:rPr>
        <w:t xml:space="preserve">Departamento de Contabilidade </w:t>
      </w:r>
      <w:r>
        <w:rPr>
          <w:color w:val="auto"/>
        </w:rPr>
        <w:t xml:space="preserve">da Prefeitura Municipal, </w:t>
      </w:r>
      <w:r>
        <w:rPr>
          <w:rFonts w:hint="default"/>
          <w:color w:val="auto"/>
          <w:lang w:val="pt-BR"/>
        </w:rPr>
        <w:t>segue abaixo na tabela os valores investidos em cada ano</w:t>
      </w:r>
      <w:r>
        <w:rPr>
          <w:color w:val="auto"/>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4112"/>
      </w:tblGrid>
      <w:tr w14:paraId="5F83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14:paraId="7BCA77DE">
            <w:pPr>
              <w:spacing w:line="360" w:lineRule="auto"/>
              <w:jc w:val="center"/>
              <w:rPr>
                <w:rFonts w:hint="default"/>
                <w:b/>
                <w:bCs/>
                <w:vertAlign w:val="baseline"/>
                <w:lang w:val="pt-BR"/>
              </w:rPr>
            </w:pPr>
            <w:r>
              <w:rPr>
                <w:rFonts w:hint="default"/>
                <w:b/>
                <w:bCs/>
                <w:vertAlign w:val="baseline"/>
                <w:lang w:val="pt-BR"/>
              </w:rPr>
              <w:t>Ano</w:t>
            </w:r>
          </w:p>
        </w:tc>
        <w:tc>
          <w:tcPr>
            <w:tcW w:w="4112" w:type="dxa"/>
          </w:tcPr>
          <w:p w14:paraId="0B2FE3B1">
            <w:pPr>
              <w:spacing w:line="360" w:lineRule="auto"/>
              <w:jc w:val="center"/>
              <w:rPr>
                <w:rFonts w:hint="default"/>
                <w:b/>
                <w:bCs/>
                <w:vertAlign w:val="baseline"/>
                <w:lang w:val="pt-BR"/>
              </w:rPr>
            </w:pPr>
            <w:r>
              <w:rPr>
                <w:rFonts w:hint="default"/>
                <w:b/>
                <w:bCs/>
                <w:vertAlign w:val="baseline"/>
                <w:lang w:val="pt-BR"/>
              </w:rPr>
              <w:t>Investimentos</w:t>
            </w:r>
          </w:p>
        </w:tc>
      </w:tr>
      <w:tr w14:paraId="3171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14:paraId="2A28D679">
            <w:pPr>
              <w:spacing w:line="360" w:lineRule="auto"/>
              <w:jc w:val="center"/>
              <w:rPr>
                <w:rFonts w:hint="default"/>
                <w:vertAlign w:val="baseline"/>
                <w:lang w:val="pt-BR"/>
              </w:rPr>
            </w:pPr>
            <w:r>
              <w:rPr>
                <w:rFonts w:hint="default"/>
                <w:vertAlign w:val="baseline"/>
                <w:lang w:val="pt-BR"/>
              </w:rPr>
              <w:t>2017</w:t>
            </w:r>
          </w:p>
        </w:tc>
        <w:tc>
          <w:tcPr>
            <w:tcW w:w="4112" w:type="dxa"/>
          </w:tcPr>
          <w:p w14:paraId="345D9E54">
            <w:pPr>
              <w:spacing w:line="360" w:lineRule="auto"/>
              <w:jc w:val="center"/>
              <w:rPr>
                <w:rFonts w:hint="default"/>
                <w:vertAlign w:val="baseline"/>
                <w:lang w:val="pt-BR"/>
              </w:rPr>
            </w:pPr>
            <w:r>
              <w:rPr>
                <w:rFonts w:hint="default"/>
                <w:vertAlign w:val="baseline"/>
                <w:lang w:val="pt-BR"/>
              </w:rPr>
              <w:t>27,86%</w:t>
            </w:r>
          </w:p>
        </w:tc>
      </w:tr>
      <w:tr w14:paraId="3860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14:paraId="5D493C72">
            <w:pPr>
              <w:spacing w:line="360" w:lineRule="auto"/>
              <w:jc w:val="center"/>
              <w:rPr>
                <w:rFonts w:hint="default"/>
                <w:vertAlign w:val="baseline"/>
                <w:lang w:val="pt-BR"/>
              </w:rPr>
            </w:pPr>
            <w:r>
              <w:rPr>
                <w:rFonts w:hint="default"/>
                <w:vertAlign w:val="baseline"/>
                <w:lang w:val="pt-BR"/>
              </w:rPr>
              <w:t>2018</w:t>
            </w:r>
          </w:p>
        </w:tc>
        <w:tc>
          <w:tcPr>
            <w:tcW w:w="4112" w:type="dxa"/>
          </w:tcPr>
          <w:p w14:paraId="461D0FE4">
            <w:pPr>
              <w:spacing w:line="360" w:lineRule="auto"/>
              <w:jc w:val="center"/>
              <w:rPr>
                <w:rFonts w:hint="default"/>
                <w:vertAlign w:val="baseline"/>
                <w:lang w:val="pt-BR"/>
              </w:rPr>
            </w:pPr>
            <w:r>
              <w:rPr>
                <w:rFonts w:hint="default"/>
                <w:vertAlign w:val="baseline"/>
                <w:lang w:val="pt-BR"/>
              </w:rPr>
              <w:t>26,59%</w:t>
            </w:r>
          </w:p>
        </w:tc>
      </w:tr>
      <w:tr w14:paraId="50BC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14:paraId="468C1FF4">
            <w:pPr>
              <w:spacing w:line="360" w:lineRule="auto"/>
              <w:jc w:val="center"/>
              <w:rPr>
                <w:rFonts w:hint="default"/>
                <w:vertAlign w:val="baseline"/>
                <w:lang w:val="pt-BR"/>
              </w:rPr>
            </w:pPr>
            <w:r>
              <w:rPr>
                <w:rFonts w:hint="default"/>
                <w:vertAlign w:val="baseline"/>
                <w:lang w:val="pt-BR"/>
              </w:rPr>
              <w:t>2019</w:t>
            </w:r>
          </w:p>
        </w:tc>
        <w:tc>
          <w:tcPr>
            <w:tcW w:w="4112" w:type="dxa"/>
          </w:tcPr>
          <w:p w14:paraId="31090815">
            <w:pPr>
              <w:spacing w:line="360" w:lineRule="auto"/>
              <w:jc w:val="center"/>
              <w:rPr>
                <w:rFonts w:hint="default"/>
                <w:vertAlign w:val="baseline"/>
                <w:lang w:val="pt-BR"/>
              </w:rPr>
            </w:pPr>
            <w:r>
              <w:rPr>
                <w:rFonts w:hint="default"/>
                <w:vertAlign w:val="baseline"/>
                <w:lang w:val="pt-BR"/>
              </w:rPr>
              <w:t>29,56%</w:t>
            </w:r>
          </w:p>
        </w:tc>
      </w:tr>
      <w:tr w14:paraId="6B31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14:paraId="0E4BB723">
            <w:pPr>
              <w:spacing w:line="360" w:lineRule="auto"/>
              <w:jc w:val="center"/>
              <w:rPr>
                <w:rFonts w:hint="default"/>
                <w:vertAlign w:val="baseline"/>
                <w:lang w:val="pt-BR"/>
              </w:rPr>
            </w:pPr>
            <w:r>
              <w:rPr>
                <w:rFonts w:hint="default"/>
                <w:vertAlign w:val="baseline"/>
                <w:lang w:val="pt-BR"/>
              </w:rPr>
              <w:t>2020</w:t>
            </w:r>
          </w:p>
        </w:tc>
        <w:tc>
          <w:tcPr>
            <w:tcW w:w="4112" w:type="dxa"/>
          </w:tcPr>
          <w:p w14:paraId="37A7141B">
            <w:pPr>
              <w:spacing w:line="360" w:lineRule="auto"/>
              <w:jc w:val="center"/>
              <w:rPr>
                <w:rFonts w:hint="default"/>
                <w:vertAlign w:val="baseline"/>
                <w:lang w:val="pt-BR"/>
              </w:rPr>
            </w:pPr>
            <w:r>
              <w:rPr>
                <w:rFonts w:hint="default"/>
                <w:vertAlign w:val="baseline"/>
                <w:lang w:val="pt-BR"/>
              </w:rPr>
              <w:t>25,31%</w:t>
            </w:r>
          </w:p>
        </w:tc>
      </w:tr>
      <w:tr w14:paraId="0035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14:paraId="319E137D">
            <w:pPr>
              <w:spacing w:line="360" w:lineRule="auto"/>
              <w:jc w:val="center"/>
              <w:rPr>
                <w:rFonts w:hint="default"/>
                <w:vertAlign w:val="baseline"/>
                <w:lang w:val="pt-BR"/>
              </w:rPr>
            </w:pPr>
            <w:r>
              <w:rPr>
                <w:rFonts w:hint="default"/>
                <w:vertAlign w:val="baseline"/>
                <w:lang w:val="pt-BR"/>
              </w:rPr>
              <w:t>2021</w:t>
            </w:r>
          </w:p>
        </w:tc>
        <w:tc>
          <w:tcPr>
            <w:tcW w:w="4112" w:type="dxa"/>
          </w:tcPr>
          <w:p w14:paraId="4AA383C4">
            <w:pPr>
              <w:spacing w:line="360" w:lineRule="auto"/>
              <w:jc w:val="center"/>
              <w:rPr>
                <w:rFonts w:hint="default"/>
                <w:vertAlign w:val="baseline"/>
                <w:lang w:val="pt-BR"/>
              </w:rPr>
            </w:pPr>
            <w:r>
              <w:rPr>
                <w:rFonts w:hint="default"/>
                <w:vertAlign w:val="baseline"/>
                <w:lang w:val="pt-BR"/>
              </w:rPr>
              <w:t>23,80%</w:t>
            </w:r>
          </w:p>
        </w:tc>
      </w:tr>
      <w:tr w14:paraId="6EA2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14:paraId="03E4B9FA">
            <w:pPr>
              <w:spacing w:line="360" w:lineRule="auto"/>
              <w:jc w:val="center"/>
              <w:rPr>
                <w:rFonts w:hint="default"/>
                <w:vertAlign w:val="baseline"/>
                <w:lang w:val="pt-BR"/>
              </w:rPr>
            </w:pPr>
            <w:r>
              <w:rPr>
                <w:rFonts w:hint="default"/>
                <w:vertAlign w:val="baseline"/>
                <w:lang w:val="pt-BR"/>
              </w:rPr>
              <w:t>2022</w:t>
            </w:r>
          </w:p>
        </w:tc>
        <w:tc>
          <w:tcPr>
            <w:tcW w:w="4112" w:type="dxa"/>
          </w:tcPr>
          <w:p w14:paraId="23190C09">
            <w:pPr>
              <w:spacing w:line="360" w:lineRule="auto"/>
              <w:jc w:val="center"/>
              <w:rPr>
                <w:rFonts w:hint="default"/>
                <w:vertAlign w:val="baseline"/>
                <w:lang w:val="pt-BR"/>
              </w:rPr>
            </w:pPr>
            <w:r>
              <w:rPr>
                <w:rFonts w:hint="default"/>
                <w:vertAlign w:val="baseline"/>
                <w:lang w:val="pt-BR"/>
              </w:rPr>
              <w:t>28,15%</w:t>
            </w:r>
          </w:p>
        </w:tc>
      </w:tr>
      <w:tr w14:paraId="0CAE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14:paraId="69F0AB36">
            <w:pPr>
              <w:spacing w:line="360" w:lineRule="auto"/>
              <w:jc w:val="center"/>
              <w:rPr>
                <w:rFonts w:hint="default"/>
                <w:vertAlign w:val="baseline"/>
                <w:lang w:val="pt-BR"/>
              </w:rPr>
            </w:pPr>
            <w:r>
              <w:rPr>
                <w:rFonts w:hint="default"/>
                <w:vertAlign w:val="baseline"/>
                <w:lang w:val="pt-BR"/>
              </w:rPr>
              <w:t>2023</w:t>
            </w:r>
          </w:p>
        </w:tc>
        <w:tc>
          <w:tcPr>
            <w:tcW w:w="4112" w:type="dxa"/>
          </w:tcPr>
          <w:p w14:paraId="6A95CDBC">
            <w:pPr>
              <w:spacing w:line="360" w:lineRule="auto"/>
              <w:jc w:val="center"/>
              <w:rPr>
                <w:rFonts w:hint="default"/>
                <w:vertAlign w:val="baseline"/>
                <w:lang w:val="pt-BR"/>
              </w:rPr>
            </w:pPr>
            <w:r>
              <w:rPr>
                <w:rFonts w:hint="default"/>
                <w:vertAlign w:val="baseline"/>
                <w:lang w:val="pt-BR"/>
              </w:rPr>
              <w:t>26,21%</w:t>
            </w:r>
          </w:p>
        </w:tc>
      </w:tr>
      <w:tr w14:paraId="3495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14:paraId="5FF0A4F6">
            <w:pPr>
              <w:spacing w:line="360" w:lineRule="auto"/>
              <w:jc w:val="center"/>
              <w:rPr>
                <w:rFonts w:hint="default"/>
                <w:vertAlign w:val="baseline"/>
                <w:lang w:val="pt-BR"/>
              </w:rPr>
            </w:pPr>
            <w:r>
              <w:rPr>
                <w:rFonts w:hint="default"/>
                <w:vertAlign w:val="baseline"/>
                <w:lang w:val="pt-BR"/>
              </w:rPr>
              <w:t>2024</w:t>
            </w:r>
          </w:p>
        </w:tc>
        <w:tc>
          <w:tcPr>
            <w:tcW w:w="4112" w:type="dxa"/>
          </w:tcPr>
          <w:p w14:paraId="51CC740A">
            <w:pPr>
              <w:spacing w:line="360" w:lineRule="auto"/>
              <w:jc w:val="center"/>
              <w:rPr>
                <w:rFonts w:hint="default"/>
                <w:vertAlign w:val="baseline"/>
                <w:lang w:val="pt-BR"/>
              </w:rPr>
            </w:pPr>
            <w:r>
              <w:rPr>
                <w:rFonts w:hint="default"/>
                <w:vertAlign w:val="baseline"/>
                <w:lang w:val="pt-BR"/>
              </w:rPr>
              <w:t>Até outubro 25,72%</w:t>
            </w:r>
          </w:p>
        </w:tc>
      </w:tr>
    </w:tbl>
    <w:p w14:paraId="4845491A">
      <w:pPr>
        <w:spacing w:line="360" w:lineRule="auto"/>
        <w:jc w:val="both"/>
      </w:pPr>
    </w:p>
    <w:p w14:paraId="31CEBE1C">
      <w:pPr>
        <w:spacing w:line="360" w:lineRule="auto"/>
        <w:jc w:val="both"/>
      </w:pPr>
    </w:p>
    <w:p w14:paraId="61313AEB">
      <w:pPr>
        <w:spacing w:line="360" w:lineRule="auto"/>
        <w:jc w:val="both"/>
      </w:pPr>
    </w:p>
    <w:p w14:paraId="31E212E5">
      <w:pPr>
        <w:spacing w:line="360" w:lineRule="auto"/>
        <w:jc w:val="both"/>
      </w:pPr>
    </w:p>
    <w:p w14:paraId="099F9B93">
      <w:pPr>
        <w:spacing w:line="360" w:lineRule="auto"/>
        <w:jc w:val="both"/>
        <w:rPr>
          <w:rFonts w:hint="default" w:ascii="Arial" w:hAnsi="Arial" w:cs="Arial"/>
          <w:b/>
          <w:sz w:val="24"/>
          <w:szCs w:val="24"/>
        </w:rPr>
      </w:pPr>
      <w:r>
        <w:rPr>
          <w:b/>
        </w:rPr>
        <w:t xml:space="preserve"> </w:t>
      </w:r>
      <w:r>
        <w:rPr>
          <w:rFonts w:hint="default" w:ascii="Arial" w:hAnsi="Arial" w:cs="Arial"/>
          <w:b/>
          <w:sz w:val="24"/>
          <w:szCs w:val="24"/>
          <w:lang w:val="pt-BR"/>
        </w:rPr>
        <w:t xml:space="preserve">2. </w:t>
      </w:r>
      <w:r>
        <w:rPr>
          <w:rFonts w:hint="default" w:ascii="Arial" w:hAnsi="Arial" w:cs="Arial"/>
          <w:b/>
          <w:sz w:val="24"/>
          <w:szCs w:val="24"/>
        </w:rPr>
        <w:t xml:space="preserve">CONCLUSÃO E RECOMENDAÇÕES </w:t>
      </w:r>
    </w:p>
    <w:p w14:paraId="15478395">
      <w:pPr>
        <w:spacing w:line="360" w:lineRule="auto"/>
        <w:jc w:val="both"/>
        <w:rPr>
          <w:rFonts w:hint="default" w:ascii="Arial" w:hAnsi="Arial" w:cs="Arial"/>
          <w:sz w:val="24"/>
          <w:szCs w:val="24"/>
        </w:rPr>
      </w:pPr>
      <w:r>
        <w:rPr>
          <w:rFonts w:hint="default" w:ascii="Arial" w:hAnsi="Arial" w:cs="Arial"/>
          <w:sz w:val="24"/>
          <w:szCs w:val="24"/>
        </w:rPr>
        <w:t xml:space="preserve"> </w:t>
      </w:r>
      <w:r>
        <w:rPr>
          <w:rFonts w:hint="default" w:ascii="Arial" w:hAnsi="Arial" w:cs="Arial"/>
          <w:sz w:val="24"/>
          <w:szCs w:val="24"/>
          <w:lang w:val="pt-BR"/>
        </w:rPr>
        <w:tab/>
      </w:r>
      <w:r>
        <w:rPr>
          <w:rFonts w:hint="default" w:ascii="Arial" w:hAnsi="Arial" w:cs="Arial"/>
          <w:sz w:val="24"/>
          <w:szCs w:val="24"/>
          <w:lang w:val="pt-BR"/>
        </w:rPr>
        <w:t>A</w:t>
      </w:r>
      <w:r>
        <w:rPr>
          <w:rFonts w:hint="default" w:ascii="Arial" w:hAnsi="Arial" w:cs="Arial"/>
          <w:sz w:val="24"/>
          <w:szCs w:val="24"/>
        </w:rPr>
        <w:t>pós análise, das Metas e Estratégias do Plano Municipal de Educação conclui - se que, as Metas de competência Municipal, estão sendo cumpridas dentro de suas possibilidades, esforçando-se para que até 2025 possa atingir a maioria das propostas.</w:t>
      </w:r>
    </w:p>
    <w:p w14:paraId="51EE71DC">
      <w:pPr>
        <w:spacing w:line="360" w:lineRule="auto"/>
        <w:ind w:firstLine="708" w:firstLineChars="0"/>
        <w:jc w:val="both"/>
        <w:rPr>
          <w:rFonts w:hint="default" w:ascii="Arial" w:hAnsi="Arial" w:cs="Arial"/>
          <w:sz w:val="24"/>
          <w:szCs w:val="24"/>
        </w:rPr>
      </w:pPr>
      <w:r>
        <w:rPr>
          <w:rFonts w:hint="default" w:ascii="Arial" w:hAnsi="Arial" w:cs="Arial"/>
          <w:sz w:val="24"/>
          <w:szCs w:val="24"/>
        </w:rPr>
        <w:t>Com relação às metas de competência Estadual, o Município somente apoia, divulga e incentiva para que as ações atinjam seus objetivos.</w:t>
      </w:r>
    </w:p>
    <w:p w14:paraId="19A0B3DE">
      <w:pPr>
        <w:spacing w:line="360" w:lineRule="auto"/>
        <w:ind w:firstLine="708" w:firstLineChars="0"/>
        <w:jc w:val="both"/>
        <w:rPr>
          <w:rFonts w:hint="default" w:ascii="Arial" w:hAnsi="Arial" w:cs="Arial"/>
          <w:sz w:val="24"/>
          <w:szCs w:val="24"/>
        </w:rPr>
      </w:pPr>
      <w:r>
        <w:rPr>
          <w:rFonts w:hint="default" w:ascii="Arial" w:hAnsi="Arial" w:cs="Arial"/>
          <w:sz w:val="24"/>
          <w:szCs w:val="24"/>
        </w:rPr>
        <w:t xml:space="preserve">Este é o </w:t>
      </w:r>
      <w:r>
        <w:rPr>
          <w:rFonts w:hint="default" w:ascii="Arial" w:hAnsi="Arial" w:cs="Arial"/>
          <w:sz w:val="24"/>
          <w:szCs w:val="24"/>
          <w:lang w:val="pt-BR"/>
        </w:rPr>
        <w:t xml:space="preserve">quarto </w:t>
      </w:r>
      <w:r>
        <w:rPr>
          <w:rFonts w:hint="default" w:ascii="Arial" w:hAnsi="Arial" w:cs="Arial"/>
          <w:sz w:val="24"/>
          <w:szCs w:val="24"/>
        </w:rPr>
        <w:t>período de Monitoramento e Avaliação do PME, do Município de Nova Esperança do Sudoeste, Paraná e podemos notar os avanços no desenvolvimento das Metas: 01</w:t>
      </w:r>
      <w:r>
        <w:rPr>
          <w:rFonts w:hint="default" w:ascii="Arial" w:hAnsi="Arial" w:cs="Arial"/>
          <w:sz w:val="24"/>
          <w:szCs w:val="24"/>
          <w:lang w:val="pt-BR"/>
        </w:rPr>
        <w:t xml:space="preserve">, 02, </w:t>
      </w:r>
      <w:r>
        <w:rPr>
          <w:rFonts w:hint="default" w:ascii="Arial" w:hAnsi="Arial" w:cs="Arial"/>
          <w:sz w:val="24"/>
          <w:szCs w:val="24"/>
        </w:rPr>
        <w:t>04,</w:t>
      </w:r>
      <w:r>
        <w:rPr>
          <w:rFonts w:hint="default" w:ascii="Arial" w:hAnsi="Arial" w:cs="Arial"/>
          <w:sz w:val="24"/>
          <w:szCs w:val="24"/>
          <w:lang w:val="pt-BR"/>
        </w:rPr>
        <w:t xml:space="preserve"> 05, </w:t>
      </w:r>
      <w:r>
        <w:rPr>
          <w:rFonts w:hint="default" w:ascii="Arial" w:hAnsi="Arial" w:cs="Arial"/>
          <w:sz w:val="24"/>
          <w:szCs w:val="24"/>
        </w:rPr>
        <w:t xml:space="preserve"> 06, 07, 15, 16, 17, 18, 19 e 20. </w:t>
      </w:r>
    </w:p>
    <w:p w14:paraId="24929DE2">
      <w:pPr>
        <w:spacing w:line="360" w:lineRule="auto"/>
        <w:ind w:firstLine="708" w:firstLineChars="0"/>
        <w:jc w:val="both"/>
        <w:rPr>
          <w:rFonts w:hint="default" w:ascii="Arial" w:hAnsi="Arial" w:cs="Arial"/>
          <w:sz w:val="24"/>
          <w:szCs w:val="24"/>
        </w:rPr>
      </w:pPr>
      <w:r>
        <w:rPr>
          <w:rFonts w:hint="default" w:ascii="Arial" w:hAnsi="Arial" w:cs="Arial"/>
          <w:sz w:val="24"/>
          <w:szCs w:val="24"/>
        </w:rPr>
        <w:t xml:space="preserve">As demais </w:t>
      </w:r>
      <w:r>
        <w:rPr>
          <w:rFonts w:hint="default" w:ascii="Arial" w:hAnsi="Arial" w:cs="Arial"/>
          <w:sz w:val="24"/>
          <w:szCs w:val="24"/>
          <w:lang w:val="pt-BR"/>
        </w:rPr>
        <w:t xml:space="preserve">metas </w:t>
      </w:r>
      <w:r>
        <w:rPr>
          <w:rFonts w:hint="default" w:ascii="Arial" w:hAnsi="Arial" w:cs="Arial"/>
          <w:sz w:val="24"/>
          <w:szCs w:val="24"/>
        </w:rPr>
        <w:t>exigem esforços da esfera Estadual e Federal para melhorias, implantação e desenvolvimento.</w:t>
      </w:r>
    </w:p>
    <w:p w14:paraId="6545A7BD">
      <w:pPr>
        <w:spacing w:line="360" w:lineRule="auto"/>
        <w:rPr>
          <w:rFonts w:hint="default" w:ascii="Arial" w:hAnsi="Arial" w:cs="Arial"/>
          <w:sz w:val="24"/>
          <w:szCs w:val="24"/>
        </w:rPr>
      </w:pPr>
      <w:r>
        <w:rPr>
          <w:rFonts w:hint="default" w:ascii="Arial" w:hAnsi="Arial" w:cs="Arial"/>
          <w:sz w:val="24"/>
          <w:szCs w:val="24"/>
        </w:rPr>
        <w:t xml:space="preserve"> </w:t>
      </w:r>
    </w:p>
    <w:p w14:paraId="0F61491D">
      <w:pPr>
        <w:spacing w:line="360" w:lineRule="auto"/>
      </w:pPr>
      <w:r>
        <w:rPr>
          <w:rFonts w:hint="default" w:ascii="Arial" w:hAnsi="Arial" w:cs="Arial"/>
          <w:sz w:val="24"/>
          <w:szCs w:val="24"/>
        </w:rPr>
        <w:t xml:space="preserve"> </w:t>
      </w:r>
    </w:p>
    <w:p w14:paraId="529C5FB2">
      <w:pPr>
        <w:numPr>
          <w:ilvl w:val="0"/>
          <w:numId w:val="0"/>
        </w:numPr>
        <w:ind w:left="49" w:leftChars="0"/>
      </w:pPr>
      <w:r>
        <w:rPr>
          <w:rFonts w:hint="default" w:ascii="Arial" w:hAnsi="Arial" w:cs="Arial"/>
          <w:b/>
          <w:bCs w:val="0"/>
          <w:sz w:val="24"/>
          <w:szCs w:val="24"/>
          <w:lang w:val="pt-BR"/>
        </w:rPr>
        <w:t xml:space="preserve">3.   </w:t>
      </w:r>
      <w:r>
        <w:rPr>
          <w:rFonts w:hint="default" w:ascii="Arial" w:hAnsi="Arial" w:cs="Arial"/>
          <w:b/>
          <w:bCs w:val="0"/>
          <w:sz w:val="24"/>
          <w:szCs w:val="24"/>
        </w:rPr>
        <w:t>ANEXO</w:t>
      </w:r>
      <w:r>
        <w:rPr>
          <w:rFonts w:hint="default" w:ascii="Arial" w:hAnsi="Arial" w:cs="Arial"/>
          <w:b/>
          <w:bCs w:val="0"/>
          <w:sz w:val="24"/>
          <w:szCs w:val="24"/>
          <w:lang w:val="pt-BR"/>
        </w:rPr>
        <w:t>S</w:t>
      </w:r>
      <w:r>
        <w:t xml:space="preserve"> </w:t>
      </w:r>
    </w:p>
    <w:p w14:paraId="65C34E8C">
      <w:r>
        <w:t xml:space="preserve"> </w:t>
      </w:r>
    </w:p>
    <w:p w14:paraId="47632130">
      <w:r>
        <w:t xml:space="preserve"> </w:t>
      </w:r>
    </w:p>
    <w:p w14:paraId="3F4E0064">
      <w:r>
        <w:t xml:space="preserve"> </w:t>
      </w:r>
    </w:p>
    <w:p w14:paraId="21D202A6">
      <w:r>
        <w:t xml:space="preserve"> </w:t>
      </w:r>
    </w:p>
    <w:p w14:paraId="0A7FE052"/>
    <w:p w14:paraId="49932BE9"/>
    <w:p w14:paraId="697D4A3C"/>
    <w:p w14:paraId="0E72BC97">
      <w:pPr>
        <w:rPr>
          <w:rFonts w:hint="default"/>
          <w:lang w:val="pt-BR"/>
        </w:rPr>
      </w:pPr>
      <w:r>
        <w:rPr>
          <w:rFonts w:hint="default"/>
          <w:lang w:val="pt-BR"/>
        </w:rPr>
        <w:drawing>
          <wp:inline distT="0" distB="0" distL="114300" distR="114300">
            <wp:extent cx="5222875" cy="5998210"/>
            <wp:effectExtent l="0" t="0" r="15875" b="2540"/>
            <wp:docPr id="2" name="Imagem 2" descr="WhatsApp Image 2024-11-27 at 15.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WhatsApp Image 2024-11-27 at 15.45.43"/>
                    <pic:cNvPicPr>
                      <a:picLocks noChangeAspect="1"/>
                    </pic:cNvPicPr>
                  </pic:nvPicPr>
                  <pic:blipFill>
                    <a:blip r:embed="rId10"/>
                    <a:stretch>
                      <a:fillRect/>
                    </a:stretch>
                  </pic:blipFill>
                  <pic:spPr>
                    <a:xfrm>
                      <a:off x="0" y="0"/>
                      <a:ext cx="5222875" cy="5998210"/>
                    </a:xfrm>
                    <a:prstGeom prst="rect">
                      <a:avLst/>
                    </a:prstGeom>
                  </pic:spPr>
                </pic:pic>
              </a:graphicData>
            </a:graphic>
          </wp:inline>
        </w:drawing>
      </w:r>
    </w:p>
    <w:p w14:paraId="52DF0FCE">
      <w:pPr>
        <w:rPr>
          <w:rFonts w:hint="default"/>
          <w:lang w:val="pt-BR"/>
        </w:rPr>
      </w:pPr>
      <w:r>
        <w:rPr>
          <w:rFonts w:hint="default"/>
          <w:lang w:val="pt-BR"/>
        </w:rPr>
        <w:drawing>
          <wp:inline distT="0" distB="0" distL="114300" distR="114300">
            <wp:extent cx="4357370" cy="5998210"/>
            <wp:effectExtent l="0" t="0" r="5080" b="2540"/>
            <wp:docPr id="3" name="Imagem 3" descr="WhatsApp Image 2024-11-27 at 15.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WhatsApp Image 2024-11-27 at 15.48.43"/>
                    <pic:cNvPicPr>
                      <a:picLocks noChangeAspect="1"/>
                    </pic:cNvPicPr>
                  </pic:nvPicPr>
                  <pic:blipFill>
                    <a:blip r:embed="rId11"/>
                    <a:stretch>
                      <a:fillRect/>
                    </a:stretch>
                  </pic:blipFill>
                  <pic:spPr>
                    <a:xfrm>
                      <a:off x="0" y="0"/>
                      <a:ext cx="4357370" cy="5998210"/>
                    </a:xfrm>
                    <a:prstGeom prst="rect">
                      <a:avLst/>
                    </a:prstGeom>
                  </pic:spPr>
                </pic:pic>
              </a:graphicData>
            </a:graphic>
          </wp:inline>
        </w:drawing>
      </w:r>
    </w:p>
    <w:p w14:paraId="0EF1B8F3">
      <w:pPr>
        <w:rPr>
          <w:rFonts w:hint="default"/>
          <w:lang w:val="pt-BR"/>
        </w:rPr>
      </w:pPr>
      <w:r>
        <w:rPr>
          <w:rFonts w:ascii="SimSun" w:hAnsi="SimSun" w:eastAsia="SimSun" w:cs="SimSun"/>
          <w:sz w:val="24"/>
          <w:szCs w:val="24"/>
        </w:rPr>
        <w:drawing>
          <wp:inline distT="0" distB="0" distL="114300" distR="114300">
            <wp:extent cx="304800" cy="304800"/>
            <wp:effectExtent l="0" t="0" r="0" b="0"/>
            <wp:docPr id="4"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r>
        <w:rPr>
          <w:rFonts w:hint="default"/>
          <w:lang w:val="pt-BR"/>
        </w:rPr>
        <w:drawing>
          <wp:inline distT="0" distB="0" distL="114300" distR="114300">
            <wp:extent cx="4338955" cy="6003290"/>
            <wp:effectExtent l="0" t="0" r="4445" b="16510"/>
            <wp:docPr id="5" name="Imagem 5" descr="WhatsApp Image 2024-11-27 at 15.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WhatsApp Image 2024-11-27 at 15.51.12"/>
                    <pic:cNvPicPr>
                      <a:picLocks noChangeAspect="1"/>
                    </pic:cNvPicPr>
                  </pic:nvPicPr>
                  <pic:blipFill>
                    <a:blip r:embed="rId13"/>
                    <a:stretch>
                      <a:fillRect/>
                    </a:stretch>
                  </pic:blipFill>
                  <pic:spPr>
                    <a:xfrm>
                      <a:off x="0" y="0"/>
                      <a:ext cx="4338955" cy="6003290"/>
                    </a:xfrm>
                    <a:prstGeom prst="rect">
                      <a:avLst/>
                    </a:prstGeom>
                  </pic:spPr>
                </pic:pic>
              </a:graphicData>
            </a:graphic>
          </wp:inline>
        </w:drawing>
      </w:r>
    </w:p>
    <w:p w14:paraId="5FDC7BDD">
      <w:pPr>
        <w:rPr>
          <w:rFonts w:hint="default"/>
          <w:lang w:val="pt-BR"/>
        </w:rPr>
      </w:pPr>
      <w:r>
        <w:rPr>
          <w:rFonts w:hint="default"/>
          <w:lang w:val="pt-BR"/>
        </w:rPr>
        <w:drawing>
          <wp:inline distT="0" distB="0" distL="114300" distR="114300">
            <wp:extent cx="7195185" cy="6002020"/>
            <wp:effectExtent l="0" t="0" r="5715" b="17780"/>
            <wp:docPr id="6" name="Imagem 6" descr="WhatsApp Image 2024-11-27 at 15.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WhatsApp Image 2024-11-27 at 15.52.51"/>
                    <pic:cNvPicPr>
                      <a:picLocks noChangeAspect="1"/>
                    </pic:cNvPicPr>
                  </pic:nvPicPr>
                  <pic:blipFill>
                    <a:blip r:embed="rId14"/>
                    <a:stretch>
                      <a:fillRect/>
                    </a:stretch>
                  </pic:blipFill>
                  <pic:spPr>
                    <a:xfrm>
                      <a:off x="0" y="0"/>
                      <a:ext cx="7195185" cy="6002020"/>
                    </a:xfrm>
                    <a:prstGeom prst="rect">
                      <a:avLst/>
                    </a:prstGeom>
                  </pic:spPr>
                </pic:pic>
              </a:graphicData>
            </a:graphic>
          </wp:inline>
        </w:drawing>
      </w:r>
    </w:p>
    <w:p w14:paraId="5494FEAD">
      <w:pPr>
        <w:rPr>
          <w:rFonts w:hint="default"/>
          <w:lang w:val="pt-BR"/>
        </w:rPr>
      </w:pPr>
      <w:r>
        <w:rPr>
          <w:rFonts w:hint="default"/>
          <w:lang w:val="pt-BR"/>
        </w:rPr>
        <w:drawing>
          <wp:inline distT="0" distB="0" distL="114300" distR="114300">
            <wp:extent cx="3547745" cy="5998210"/>
            <wp:effectExtent l="0" t="0" r="14605" b="2540"/>
            <wp:docPr id="7" name="Imagem 7" descr="WhatsApp Image 2024-11-27 at 15.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WhatsApp Image 2024-11-27 at 15.54.21"/>
                    <pic:cNvPicPr>
                      <a:picLocks noChangeAspect="1"/>
                    </pic:cNvPicPr>
                  </pic:nvPicPr>
                  <pic:blipFill>
                    <a:blip r:embed="rId15"/>
                    <a:stretch>
                      <a:fillRect/>
                    </a:stretch>
                  </pic:blipFill>
                  <pic:spPr>
                    <a:xfrm>
                      <a:off x="0" y="0"/>
                      <a:ext cx="3547745" cy="5998210"/>
                    </a:xfrm>
                    <a:prstGeom prst="rect">
                      <a:avLst/>
                    </a:prstGeom>
                  </pic:spPr>
                </pic:pic>
              </a:graphicData>
            </a:graphic>
          </wp:inline>
        </w:drawing>
      </w:r>
    </w:p>
    <w:p w14:paraId="25988FB2">
      <w:r>
        <w:t xml:space="preserve"> </w:t>
      </w:r>
      <w:r>
        <w:rPr>
          <w:rFonts w:hint="default"/>
          <w:lang w:val="pt-BR"/>
        </w:rPr>
        <w:drawing>
          <wp:inline distT="0" distB="0" distL="114300" distR="114300">
            <wp:extent cx="6155055" cy="6000750"/>
            <wp:effectExtent l="0" t="0" r="17145" b="0"/>
            <wp:docPr id="8" name="Imagem 8" descr="WhatsApp Image 2024-11-27 at 15.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WhatsApp Image 2024-11-27 at 15.55.54"/>
                    <pic:cNvPicPr>
                      <a:picLocks noChangeAspect="1"/>
                    </pic:cNvPicPr>
                  </pic:nvPicPr>
                  <pic:blipFill>
                    <a:blip r:embed="rId16"/>
                    <a:stretch>
                      <a:fillRect/>
                    </a:stretch>
                  </pic:blipFill>
                  <pic:spPr>
                    <a:xfrm>
                      <a:off x="0" y="0"/>
                      <a:ext cx="6155055" cy="6000750"/>
                    </a:xfrm>
                    <a:prstGeom prst="rect">
                      <a:avLst/>
                    </a:prstGeom>
                  </pic:spPr>
                </pic:pic>
              </a:graphicData>
            </a:graphic>
          </wp:inline>
        </w:drawing>
      </w:r>
    </w:p>
    <w:sectPr>
      <w:footerReference r:id="rId5" w:type="default"/>
      <w:pgSz w:w="16838" w:h="11906" w:orient="landscape"/>
      <w:pgMar w:top="1041" w:right="1417" w:bottom="1405"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BF5C5">
    <w:pPr>
      <w:pStyle w:val="8"/>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7BB80">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SVju0AAA&#10;AAUBAAAPAAAAAAAAAAEAIAAAACIAAABkcnMvZG93bnJldi54bWxQSwECFAAUAAAACACHTuJA5noQ&#10;uCYCAABmBAAADgAAAAAAAAABACAAAAAfAQAAZHJzL2Uyb0RvYy54bWxQSwUGAAAAAAYABgBZAQAA&#10;twUAAAAA&#10;">
              <v:fill on="f" focussize="0,0"/>
              <v:stroke on="f" weight="0.5pt"/>
              <v:imagedata o:title=""/>
              <o:lock v:ext="edit" aspectratio="f"/>
              <v:textbox inset="0mm,0mm,0mm,0mm" style="mso-fit-shape-to-text:t;">
                <w:txbxContent>
                  <w:p w14:paraId="1F87BB80">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2B315"/>
    <w:multiLevelType w:val="singleLevel"/>
    <w:tmpl w:val="8942B315"/>
    <w:lvl w:ilvl="0" w:tentative="0">
      <w:start w:val="1"/>
      <w:numFmt w:val="lowerLetter"/>
      <w:suff w:val="space"/>
      <w:lvlText w:val="%1)"/>
      <w:lvlJc w:val="left"/>
    </w:lvl>
  </w:abstractNum>
  <w:abstractNum w:abstractNumId="1">
    <w:nsid w:val="B97DA23C"/>
    <w:multiLevelType w:val="singleLevel"/>
    <w:tmpl w:val="B97DA23C"/>
    <w:lvl w:ilvl="0" w:tentative="0">
      <w:start w:val="2"/>
      <w:numFmt w:val="decimal"/>
      <w:suff w:val="space"/>
      <w:lvlText w:val="%1."/>
      <w:lvlJc w:val="left"/>
      <w:pPr>
        <w:ind w:left="49" w:leftChars="0" w:firstLine="0" w:firstLineChars="0"/>
      </w:pPr>
    </w:lvl>
  </w:abstractNum>
  <w:abstractNum w:abstractNumId="2">
    <w:nsid w:val="1B8D2E34"/>
    <w:multiLevelType w:val="multilevel"/>
    <w:tmpl w:val="1B8D2E3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A8D6705"/>
    <w:multiLevelType w:val="multilevel"/>
    <w:tmpl w:val="3A8D6705"/>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BC4"/>
    <w:rsid w:val="00187FD3"/>
    <w:rsid w:val="002418CC"/>
    <w:rsid w:val="002521A0"/>
    <w:rsid w:val="00266FB1"/>
    <w:rsid w:val="003624C6"/>
    <w:rsid w:val="0045600D"/>
    <w:rsid w:val="00467BC4"/>
    <w:rsid w:val="00554320"/>
    <w:rsid w:val="006004FE"/>
    <w:rsid w:val="009A50F8"/>
    <w:rsid w:val="00A65CE0"/>
    <w:rsid w:val="00AA57BA"/>
    <w:rsid w:val="00AB20FC"/>
    <w:rsid w:val="00B6556E"/>
    <w:rsid w:val="00EC6308"/>
    <w:rsid w:val="00ED374E"/>
    <w:rsid w:val="00EF315A"/>
    <w:rsid w:val="00FF7199"/>
    <w:rsid w:val="022E51A4"/>
    <w:rsid w:val="02B04479"/>
    <w:rsid w:val="034025D7"/>
    <w:rsid w:val="0362429C"/>
    <w:rsid w:val="04965593"/>
    <w:rsid w:val="05603D62"/>
    <w:rsid w:val="05BD15CA"/>
    <w:rsid w:val="06193DF7"/>
    <w:rsid w:val="068C10BD"/>
    <w:rsid w:val="068D56CD"/>
    <w:rsid w:val="06E05782"/>
    <w:rsid w:val="073402CA"/>
    <w:rsid w:val="090E4468"/>
    <w:rsid w:val="09CE7149"/>
    <w:rsid w:val="09E71B0D"/>
    <w:rsid w:val="0D7A77FF"/>
    <w:rsid w:val="0EA61216"/>
    <w:rsid w:val="0EDD1282"/>
    <w:rsid w:val="0F9C63BE"/>
    <w:rsid w:val="0FB85BDB"/>
    <w:rsid w:val="109B15C7"/>
    <w:rsid w:val="110971D4"/>
    <w:rsid w:val="11177D15"/>
    <w:rsid w:val="116C7716"/>
    <w:rsid w:val="11B8789F"/>
    <w:rsid w:val="12275F74"/>
    <w:rsid w:val="12631E82"/>
    <w:rsid w:val="12D0373B"/>
    <w:rsid w:val="142A5125"/>
    <w:rsid w:val="143F7064"/>
    <w:rsid w:val="14FB0265"/>
    <w:rsid w:val="152D14FD"/>
    <w:rsid w:val="159C289A"/>
    <w:rsid w:val="15AF2F27"/>
    <w:rsid w:val="15C31B67"/>
    <w:rsid w:val="16124A88"/>
    <w:rsid w:val="16C84A74"/>
    <w:rsid w:val="17796BE6"/>
    <w:rsid w:val="17B005EC"/>
    <w:rsid w:val="185309F7"/>
    <w:rsid w:val="186C3B20"/>
    <w:rsid w:val="1908654F"/>
    <w:rsid w:val="19D53539"/>
    <w:rsid w:val="1A694F04"/>
    <w:rsid w:val="1AD0039B"/>
    <w:rsid w:val="1BD3676E"/>
    <w:rsid w:val="1DCA625A"/>
    <w:rsid w:val="1F1C1131"/>
    <w:rsid w:val="1F233F5E"/>
    <w:rsid w:val="202750D0"/>
    <w:rsid w:val="204E425D"/>
    <w:rsid w:val="210A70F8"/>
    <w:rsid w:val="21A311E1"/>
    <w:rsid w:val="22C55999"/>
    <w:rsid w:val="233448D1"/>
    <w:rsid w:val="233B2BB7"/>
    <w:rsid w:val="2476514F"/>
    <w:rsid w:val="248A1E01"/>
    <w:rsid w:val="258611DB"/>
    <w:rsid w:val="25AD2071"/>
    <w:rsid w:val="2615738A"/>
    <w:rsid w:val="264C3C60"/>
    <w:rsid w:val="26773BAB"/>
    <w:rsid w:val="268A4DCA"/>
    <w:rsid w:val="27B34984"/>
    <w:rsid w:val="28061D38"/>
    <w:rsid w:val="28776B74"/>
    <w:rsid w:val="2A0F501B"/>
    <w:rsid w:val="2A4677A9"/>
    <w:rsid w:val="2AD95059"/>
    <w:rsid w:val="2B0E7E3C"/>
    <w:rsid w:val="2BB425AE"/>
    <w:rsid w:val="2C2D7F09"/>
    <w:rsid w:val="2C2F5D19"/>
    <w:rsid w:val="2E570909"/>
    <w:rsid w:val="2E9A328C"/>
    <w:rsid w:val="2E9F6689"/>
    <w:rsid w:val="2F2131FE"/>
    <w:rsid w:val="30704386"/>
    <w:rsid w:val="319950ED"/>
    <w:rsid w:val="31A54EB0"/>
    <w:rsid w:val="31D95ED6"/>
    <w:rsid w:val="32DB47FF"/>
    <w:rsid w:val="337C1A1F"/>
    <w:rsid w:val="33E64EB5"/>
    <w:rsid w:val="33F16546"/>
    <w:rsid w:val="34A9006B"/>
    <w:rsid w:val="35977890"/>
    <w:rsid w:val="363122F8"/>
    <w:rsid w:val="37352D9D"/>
    <w:rsid w:val="37AB62E1"/>
    <w:rsid w:val="37E73B16"/>
    <w:rsid w:val="392B32DA"/>
    <w:rsid w:val="39535BFA"/>
    <w:rsid w:val="39D114EA"/>
    <w:rsid w:val="3A0B4074"/>
    <w:rsid w:val="3CD11E57"/>
    <w:rsid w:val="3E4153FC"/>
    <w:rsid w:val="3EA111D0"/>
    <w:rsid w:val="3EE940BE"/>
    <w:rsid w:val="3F043070"/>
    <w:rsid w:val="3F0F1EF7"/>
    <w:rsid w:val="406A672E"/>
    <w:rsid w:val="40AB3BB0"/>
    <w:rsid w:val="419633AA"/>
    <w:rsid w:val="426E3486"/>
    <w:rsid w:val="42C03D90"/>
    <w:rsid w:val="441E6126"/>
    <w:rsid w:val="44896BFF"/>
    <w:rsid w:val="46064558"/>
    <w:rsid w:val="464173AE"/>
    <w:rsid w:val="47072496"/>
    <w:rsid w:val="472E400A"/>
    <w:rsid w:val="47B03819"/>
    <w:rsid w:val="48DA5C15"/>
    <w:rsid w:val="48EA1C98"/>
    <w:rsid w:val="492C6E2E"/>
    <w:rsid w:val="493F7B37"/>
    <w:rsid w:val="4A845C50"/>
    <w:rsid w:val="4AFA5B62"/>
    <w:rsid w:val="4B3705DF"/>
    <w:rsid w:val="4C177838"/>
    <w:rsid w:val="4D403C4D"/>
    <w:rsid w:val="4DEB39E3"/>
    <w:rsid w:val="50647627"/>
    <w:rsid w:val="509D72E9"/>
    <w:rsid w:val="51254398"/>
    <w:rsid w:val="573E766F"/>
    <w:rsid w:val="587858AE"/>
    <w:rsid w:val="587A6709"/>
    <w:rsid w:val="58C0204E"/>
    <w:rsid w:val="592C4E5D"/>
    <w:rsid w:val="5AD3240B"/>
    <w:rsid w:val="5B391B11"/>
    <w:rsid w:val="5C5B1215"/>
    <w:rsid w:val="5D1C3851"/>
    <w:rsid w:val="5E7C36DF"/>
    <w:rsid w:val="5E810B9A"/>
    <w:rsid w:val="5E810FDA"/>
    <w:rsid w:val="5F902F55"/>
    <w:rsid w:val="5F9C4CC8"/>
    <w:rsid w:val="60DC0637"/>
    <w:rsid w:val="61094D40"/>
    <w:rsid w:val="61265BEC"/>
    <w:rsid w:val="625450AD"/>
    <w:rsid w:val="628605AF"/>
    <w:rsid w:val="62EB2CD8"/>
    <w:rsid w:val="62F43847"/>
    <w:rsid w:val="63A80D4A"/>
    <w:rsid w:val="64056337"/>
    <w:rsid w:val="67D918D5"/>
    <w:rsid w:val="67F11071"/>
    <w:rsid w:val="680571B7"/>
    <w:rsid w:val="68B81967"/>
    <w:rsid w:val="69950BC7"/>
    <w:rsid w:val="69D67433"/>
    <w:rsid w:val="6A056DDC"/>
    <w:rsid w:val="6ADF6E0B"/>
    <w:rsid w:val="6B136968"/>
    <w:rsid w:val="6B336A70"/>
    <w:rsid w:val="6C471F2C"/>
    <w:rsid w:val="6C551D28"/>
    <w:rsid w:val="6C992E6F"/>
    <w:rsid w:val="6CE047A5"/>
    <w:rsid w:val="6D11307D"/>
    <w:rsid w:val="6D124381"/>
    <w:rsid w:val="6D3C09D2"/>
    <w:rsid w:val="6D7D22E1"/>
    <w:rsid w:val="6DB71A89"/>
    <w:rsid w:val="6E1206DF"/>
    <w:rsid w:val="7072403E"/>
    <w:rsid w:val="70741DA4"/>
    <w:rsid w:val="71091A03"/>
    <w:rsid w:val="710D2076"/>
    <w:rsid w:val="715A1459"/>
    <w:rsid w:val="71687945"/>
    <w:rsid w:val="71B72CB9"/>
    <w:rsid w:val="730270F9"/>
    <w:rsid w:val="730275C0"/>
    <w:rsid w:val="7386464D"/>
    <w:rsid w:val="73CB1207"/>
    <w:rsid w:val="73F71F4A"/>
    <w:rsid w:val="743B29BB"/>
    <w:rsid w:val="74570742"/>
    <w:rsid w:val="746F23CA"/>
    <w:rsid w:val="74CE1D2E"/>
    <w:rsid w:val="74D332F8"/>
    <w:rsid w:val="74F72EF3"/>
    <w:rsid w:val="750976CC"/>
    <w:rsid w:val="7630304C"/>
    <w:rsid w:val="774B3CC1"/>
    <w:rsid w:val="779F75EB"/>
    <w:rsid w:val="78042B76"/>
    <w:rsid w:val="7A666614"/>
    <w:rsid w:val="7C2D09C7"/>
    <w:rsid w:val="7E5E79E2"/>
    <w:rsid w:val="7F5E758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t-BR" w:eastAsia="en-US" w:bidi="ar-SA"/>
    </w:rPr>
  </w:style>
  <w:style w:type="character" w:default="1" w:styleId="2">
    <w:name w:val="Default Paragraph Font"/>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FollowedHyperlink"/>
    <w:basedOn w:val="2"/>
    <w:unhideWhenUsed/>
    <w:qFormat/>
    <w:uiPriority w:val="99"/>
    <w:rPr>
      <w:color w:val="800080"/>
      <w:u w:val="single"/>
    </w:rPr>
  </w:style>
  <w:style w:type="character" w:styleId="5">
    <w:name w:val="Hyperlink"/>
    <w:basedOn w:val="2"/>
    <w:unhideWhenUsed/>
    <w:qFormat/>
    <w:uiPriority w:val="99"/>
    <w:rPr>
      <w:color w:val="0000FF"/>
      <w:u w:val="single"/>
    </w:r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7">
    <w:name w:val="header"/>
    <w:basedOn w:val="1"/>
    <w:link w:val="15"/>
    <w:semiHidden/>
    <w:unhideWhenUsed/>
    <w:qFormat/>
    <w:uiPriority w:val="99"/>
    <w:pPr>
      <w:spacing w:before="100" w:beforeAutospacing="1" w:after="100" w:afterAutospacing="1" w:line="240" w:lineRule="auto"/>
    </w:pPr>
    <w:rPr>
      <w:rFonts w:ascii="Calibri" w:hAnsi="Calibri" w:eastAsia="Times New Roman" w:cs="Calibri"/>
      <w:sz w:val="24"/>
      <w:szCs w:val="24"/>
      <w:lang w:eastAsia="pt-BR"/>
    </w:rPr>
  </w:style>
  <w:style w:type="paragraph" w:styleId="8">
    <w:name w:val="footer"/>
    <w:basedOn w:val="1"/>
    <w:semiHidden/>
    <w:unhideWhenUsed/>
    <w:qFormat/>
    <w:uiPriority w:val="99"/>
    <w:pPr>
      <w:tabs>
        <w:tab w:val="center" w:pos="4252"/>
        <w:tab w:val="right" w:pos="8504"/>
      </w:tabs>
    </w:pPr>
  </w:style>
  <w:style w:type="table" w:styleId="9">
    <w:name w:val="Table Grid"/>
    <w:basedOn w:val="3"/>
    <w:qFormat/>
    <w:uiPriority w:val="9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customStyle="1" w:styleId="11">
    <w:name w:val="List Paragraph1"/>
    <w:basedOn w:val="1"/>
    <w:qFormat/>
    <w:uiPriority w:val="0"/>
    <w:pPr>
      <w:spacing w:before="100" w:beforeAutospacing="1" w:after="100" w:afterAutospacing="1" w:line="273" w:lineRule="auto"/>
      <w:contextualSpacing/>
    </w:pPr>
    <w:rPr>
      <w:rFonts w:ascii="Cambria" w:hAnsi="Cambria" w:eastAsia="Times New Roman" w:cs="Times New Roman"/>
      <w:sz w:val="24"/>
      <w:szCs w:val="24"/>
      <w:lang w:eastAsia="pt-BR"/>
    </w:rPr>
  </w:style>
  <w:style w:type="paragraph" w:customStyle="1" w:styleId="12">
    <w:name w:val="Default"/>
    <w:basedOn w:val="1"/>
    <w:qFormat/>
    <w:uiPriority w:val="0"/>
    <w:pPr>
      <w:autoSpaceDE w:val="0"/>
      <w:autoSpaceDN w:val="0"/>
      <w:adjustRightInd w:val="0"/>
      <w:spacing w:before="100" w:beforeAutospacing="1" w:after="100" w:afterAutospacing="1" w:line="240" w:lineRule="auto"/>
    </w:pPr>
    <w:rPr>
      <w:rFonts w:ascii="Arial" w:hAnsi="Arial" w:eastAsia="Calibri" w:cs="Arial"/>
      <w:color w:val="000000"/>
      <w:sz w:val="24"/>
      <w:szCs w:val="24"/>
      <w:lang w:eastAsia="pt-BR"/>
    </w:rPr>
  </w:style>
  <w:style w:type="paragraph" w:customStyle="1" w:styleId="13">
    <w:name w:val="TITULO 1"/>
    <w:basedOn w:val="1"/>
    <w:qFormat/>
    <w:uiPriority w:val="0"/>
    <w:pPr>
      <w:spacing w:before="100" w:beforeAutospacing="1" w:after="100" w:afterAutospacing="1" w:line="240" w:lineRule="auto"/>
    </w:pPr>
    <w:rPr>
      <w:rFonts w:ascii="Times New Roman" w:hAnsi="Times New Roman" w:eastAsia="Times New Roman" w:cs="Times New Roman"/>
      <w:b/>
      <w:sz w:val="24"/>
      <w:szCs w:val="24"/>
      <w:lang w:eastAsia="pt-BR"/>
    </w:rPr>
  </w:style>
  <w:style w:type="paragraph" w:customStyle="1" w:styleId="14">
    <w:name w:val="TITULO2"/>
    <w:basedOn w:val="1"/>
    <w:qFormat/>
    <w:uiPriority w:val="0"/>
    <w:pPr>
      <w:spacing w:before="100" w:beforeAutospacing="1" w:after="100" w:afterAutospacing="1" w:line="240" w:lineRule="auto"/>
      <w:jc w:val="both"/>
    </w:pPr>
    <w:rPr>
      <w:rFonts w:ascii="Times New Roman" w:hAnsi="Times New Roman" w:eastAsia="Times New Roman" w:cs="Times New Roman"/>
      <w:b/>
      <w:sz w:val="24"/>
      <w:szCs w:val="24"/>
      <w:lang w:eastAsia="pt-BR"/>
    </w:rPr>
  </w:style>
  <w:style w:type="character" w:customStyle="1" w:styleId="15">
    <w:name w:val="Cabeçalho Char"/>
    <w:basedOn w:val="2"/>
    <w:link w:val="7"/>
    <w:semiHidden/>
    <w:qFormat/>
    <w:uiPriority w:val="99"/>
    <w:rPr>
      <w:rFonts w:ascii="Calibri" w:hAnsi="Calibri" w:eastAsia="Times New Roman" w:cs="Calibri"/>
      <w:sz w:val="24"/>
      <w:szCs w:val="24"/>
      <w:lang w:eastAsia="pt-BR"/>
    </w:rPr>
  </w:style>
  <w:style w:type="paragraph" w:styleId="1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NUL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12916</Words>
  <Characters>69752</Characters>
  <Lines>581</Lines>
  <Paragraphs>165</Paragraphs>
  <TotalTime>26</TotalTime>
  <ScaleCrop>false</ScaleCrop>
  <LinksUpToDate>false</LinksUpToDate>
  <CharactersWithSpaces>82503</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2024-11-22T18:27:00Z</dcterms:created>
  <dc:creator>USER</dc:creator>
  <cp:lastModifiedBy>USER</cp:lastModifiedBy>
  <cp:lastPrinted>2024-11-26T10:48:00Z</cp:lastPrinted>
  <dcterms:modified xsi:type="dcterms:W3CDTF">2024-11-27T18:51:10Z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1046-12.2.0.18911</vt:lpwstr>
  </property>
  <property fmtid="{D5CDD505-2E9C-101B-9397-08002B2CF9AE}" pid="3" name="ICV">
    <vt:lpwstr>7CE84038C3334F3899B620170294DE68_13</vt:lpwstr>
  </property>
</Properties>
</file>