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776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33º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564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306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07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Outubro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32/2024;</w:t>
      </w: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Emenda</w:t>
      </w:r>
      <w:r>
        <w:rPr>
          <w:spacing w:val="-2"/>
          <w:sz w:val="24"/>
        </w:rPr>
        <w:t> </w:t>
      </w:r>
      <w:r>
        <w:rPr>
          <w:w w:val="80"/>
          <w:sz w:val="24"/>
        </w:rPr>
        <w:t>Modificativa</w:t>
      </w:r>
      <w:r>
        <w:rPr>
          <w:spacing w:val="-2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03/2024;</w:t>
      </w:r>
    </w:p>
    <w:p>
      <w:pPr>
        <w:pStyle w:val="BodyText"/>
        <w:spacing w:before="159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5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2"/>
          <w:sz w:val="24"/>
        </w:rPr>
        <w:t> </w:t>
      </w:r>
      <w:r>
        <w:rPr>
          <w:w w:val="80"/>
          <w:sz w:val="24"/>
        </w:rPr>
        <w:t>dos</w:t>
      </w:r>
      <w:r>
        <w:rPr>
          <w:spacing w:val="-2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2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34/2024,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34/2024;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https://engine.vaionline.com.br/uploads/grupo3/estab4/documentos/docs-4561.pdf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59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Emenda</w:t>
      </w:r>
      <w:r>
        <w:rPr>
          <w:spacing w:val="-3"/>
          <w:sz w:val="24"/>
        </w:rPr>
        <w:t> </w:t>
      </w:r>
      <w:r>
        <w:rPr>
          <w:w w:val="80"/>
          <w:sz w:val="24"/>
        </w:rPr>
        <w:t>modificativa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03/2024;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2191" w:hanging="361"/>
        <w:jc w:val="left"/>
        <w:rPr>
          <w:sz w:val="24"/>
        </w:rPr>
      </w:pPr>
      <w:r>
        <w:rPr>
          <w:w w:val="85"/>
          <w:sz w:val="24"/>
        </w:rPr>
        <w:t>Discusão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emenda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modificativa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03/2024;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https://engine.vaionline.com.br/uploads/grupo3/estab4/documentos/alterados/docs-4562.pdf</w:t>
        </w:r>
      </w:hyperlink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-2"/>
          <w:sz w:val="24"/>
        </w:rPr>
        <w:t> </w:t>
      </w:r>
      <w:r>
        <w:rPr>
          <w:w w:val="80"/>
          <w:sz w:val="24"/>
        </w:rPr>
        <w:t>dos</w:t>
      </w:r>
      <w:r>
        <w:rPr>
          <w:spacing w:val="-2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36/2024,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36/2024;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https://engine.vaionline.com.br/uploads/grupo3/estab4/documentos/docs-4562.pdf</w:t>
        </w:r>
      </w:hyperlink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0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871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33º SESSÃO ORDINÁRIA</w:t>
      </w:r>
    </w:p>
    <w:p>
      <w:pPr>
        <w:spacing w:line="251" w:lineRule="exact" w:before="0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07/10/2024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106"/>
        <w:rPr>
          <w:sz w:val="22"/>
        </w:rPr>
      </w:pPr>
    </w:p>
    <w:p>
      <w:pPr>
        <w:pStyle w:val="BodyText"/>
        <w:spacing w:line="256" w:lineRule="auto"/>
        <w:ind w:left="710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34/2024, que Dispõe sobre a Lei de Diretrizes </w:t>
      </w:r>
      <w:r>
        <w:rPr>
          <w:w w:val="85"/>
        </w:rPr>
        <w:t>Orçamentárias</w:t>
      </w:r>
      <w:r>
        <w:rPr>
          <w:spacing w:val="-7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Exercício</w:t>
      </w:r>
      <w:r>
        <w:rPr>
          <w:spacing w:val="-5"/>
          <w:w w:val="85"/>
        </w:rPr>
        <w:t> </w:t>
      </w:r>
      <w:r>
        <w:rPr>
          <w:w w:val="85"/>
        </w:rPr>
        <w:t>Financeiro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2025.</w:t>
      </w:r>
    </w:p>
    <w:p>
      <w:pPr>
        <w:spacing w:before="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27/08/2024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line="259" w:lineRule="auto"/>
        <w:ind w:left="710" w:right="871"/>
      </w:pPr>
      <w:r>
        <w:rPr>
          <w:w w:val="80"/>
          <w:sz w:val="22"/>
        </w:rPr>
        <w:t>2-</w:t>
      </w:r>
      <w:r>
        <w:rPr>
          <w:w w:val="80"/>
        </w:rPr>
        <w:t>- Elaboração dos pareceres relativos ao Projeto de Lei nº</w:t>
      </w:r>
      <w:r>
        <w:rPr/>
        <w:t> </w:t>
      </w:r>
      <w:r>
        <w:rPr>
          <w:w w:val="80"/>
        </w:rPr>
        <w:t>36/2024, que Estima a receita e fixa a despesa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Município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Vitorino</w:t>
      </w:r>
      <w:r>
        <w:rPr>
          <w:spacing w:val="-7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exercício</w:t>
      </w:r>
      <w:r>
        <w:rPr>
          <w:spacing w:val="-7"/>
          <w:w w:val="85"/>
        </w:rPr>
        <w:t> </w:t>
      </w:r>
      <w:r>
        <w:rPr>
          <w:w w:val="85"/>
        </w:rPr>
        <w:t>financeiro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2025.</w:t>
      </w:r>
    </w:p>
    <w:p>
      <w:pPr>
        <w:spacing w:line="275" w:lineRule="exact" w:before="0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19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28/08/2024</w:t>
      </w:r>
    </w:p>
    <w:p>
      <w:pPr>
        <w:pStyle w:val="BodyText"/>
      </w:pPr>
    </w:p>
    <w:p>
      <w:pPr>
        <w:pStyle w:val="BodyText"/>
        <w:spacing w:before="41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2"/>
      <w:footerReference w:type="default" r:id="rId13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67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520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622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561.pdf" TargetMode="External"/><Relationship Id="rId10" Type="http://schemas.openxmlformats.org/officeDocument/2006/relationships/hyperlink" Target="https://engine.vaionline.com.br/uploads/grupo3/estab4/documentos/alterados/docs-4562.pdf" TargetMode="External"/><Relationship Id="rId11" Type="http://schemas.openxmlformats.org/officeDocument/2006/relationships/hyperlink" Target="https://engine.vaionline.com.br/uploads/grupo3/estab4/documentos/docs-4562.pdf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2025-04-29T17:04:40Z</dcterms:created>
  <dcterms:modified xsi:type="dcterms:W3CDTF">2025-04-29T17:04:40Z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