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268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13º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2025</w:t>
      </w:r>
    </w:p>
    <w:p>
      <w:pPr>
        <w:spacing w:line="259" w:lineRule="auto" w:before="21"/>
        <w:ind w:left="3922" w:right="4261" w:firstLine="8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2025/2028) 28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spacing w:before="17"/>
        <w:rPr>
          <w:rFonts w:ascii="Arial"/>
          <w:b/>
          <w:sz w:val="22"/>
        </w:rPr>
      </w:pPr>
    </w:p>
    <w:p>
      <w:pPr>
        <w:pStyle w:val="Heading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12/2025;</w:t>
      </w:r>
    </w:p>
    <w:p>
      <w:pPr>
        <w:pStyle w:val="Heading1"/>
        <w:spacing w:before="260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6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06/2025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(Legislativo);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https://engine.vaionline.com.br/uploads/grupo3/estab4/documentos/docs-4867.pdf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21/2025;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https://engine.vaionline.com.br/uploads/grupo3/estab4/documentos/docs-4855.pdf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0" w:after="0"/>
        <w:ind w:left="696" w:right="3034" w:hanging="385"/>
        <w:jc w:val="left"/>
        <w:rPr>
          <w:sz w:val="24"/>
        </w:rPr>
      </w:pPr>
      <w:r>
        <w:rPr>
          <w:w w:val="85"/>
          <w:sz w:val="24"/>
        </w:rPr>
        <w:t>Leitura da Indicação nº 27/2025;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https://engine.vaionline.com.br/uploads/grupo3/estab4/documentos/docs-4862.pdf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28/2025;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https://engine.vaionline.com.br/uploads/grupo3/estab4/documentos/docs-4863.pdf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29/2025;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https://engine.vaionline.com.br/uploads/grupo3/estab4/documentos/docs-4864.pdf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30/2025;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https://engine.vaionline.com.br/uploads/grupo3/estab4/documentos/docs-4866.pdf</w:t>
        </w:r>
      </w:hyperlink>
    </w:p>
    <w:p>
      <w:pPr>
        <w:pStyle w:val="BodyText"/>
        <w:spacing w:before="24"/>
      </w:pPr>
    </w:p>
    <w:p>
      <w:pPr>
        <w:pStyle w:val="Heading1"/>
      </w:pPr>
      <w:r>
        <w:rPr>
          <w:w w:val="80"/>
        </w:rPr>
        <w:t>ORDEM</w:t>
      </w:r>
      <w:r>
        <w:rPr>
          <w:spacing w:val="-9"/>
        </w:rPr>
        <w:t> </w:t>
      </w:r>
      <w:r>
        <w:rPr>
          <w:w w:val="80"/>
        </w:rPr>
        <w:t>DO</w:t>
      </w:r>
      <w:r>
        <w:rPr>
          <w:spacing w:val="-8"/>
        </w:rPr>
        <w:t> </w:t>
      </w:r>
      <w:r>
        <w:rPr>
          <w:spacing w:val="-4"/>
          <w:w w:val="80"/>
        </w:rPr>
        <w:t>DIA:</w:t>
      </w:r>
    </w:p>
    <w:p>
      <w:pPr>
        <w:pStyle w:val="BodyText"/>
        <w:spacing w:before="4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427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Complementar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02/2025;</w:t>
      </w:r>
    </w:p>
    <w:p>
      <w:pPr>
        <w:pStyle w:val="BodyText"/>
        <w:spacing w:line="259" w:lineRule="auto" w:before="20"/>
        <w:ind w:left="672" w:right="2905"/>
      </w:pPr>
      <w:r>
        <w:rPr>
          <w:w w:val="80"/>
        </w:rPr>
        <w:t>1ª Discussão e 1ª Votação do Projeto de Lei Complementar nº 02/2025 (Executivo); </w:t>
      </w:r>
      <w:hyperlink r:id="rId13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https://engine.vaionline.com.br/uploads/grupo3/estab4/documentos/docs-4843.pdf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0" w:after="0"/>
        <w:ind w:left="595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w w:val="80"/>
          <w:sz w:val="24"/>
        </w:rPr>
        <w:t>20/2025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(Executivo);</w:t>
      </w:r>
    </w:p>
    <w:p>
      <w:pPr>
        <w:pStyle w:val="BodyText"/>
        <w:spacing w:line="259" w:lineRule="auto" w:before="18"/>
        <w:ind w:left="595" w:right="3132"/>
      </w:pPr>
      <w:r>
        <w:rPr>
          <w:w w:val="85"/>
        </w:rPr>
        <w:t>2ª</w:t>
      </w:r>
      <w:r>
        <w:rPr>
          <w:spacing w:val="-7"/>
          <w:w w:val="85"/>
        </w:rPr>
        <w:t> </w:t>
      </w:r>
      <w:r>
        <w:rPr>
          <w:w w:val="85"/>
        </w:rPr>
        <w:t>Discussão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2ª</w:t>
      </w:r>
      <w:r>
        <w:rPr>
          <w:spacing w:val="-7"/>
          <w:w w:val="85"/>
        </w:rPr>
        <w:t> </w:t>
      </w:r>
      <w:r>
        <w:rPr>
          <w:w w:val="85"/>
        </w:rPr>
        <w:t>Votação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Projeto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Lei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20/2025</w:t>
      </w:r>
      <w:r>
        <w:rPr>
          <w:spacing w:val="-7"/>
          <w:w w:val="85"/>
        </w:rPr>
        <w:t> </w:t>
      </w:r>
      <w:r>
        <w:rPr>
          <w:w w:val="85"/>
        </w:rPr>
        <w:t>(Executivo); </w:t>
      </w:r>
      <w:hyperlink r:id="rId14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https://engine.vaionline.com.br/uploads/grupo3/estab4/documentos/docs-4836.pdf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0" w:after="0"/>
        <w:ind w:left="595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3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Complementar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w w:val="80"/>
          <w:sz w:val="24"/>
        </w:rPr>
        <w:t>01/2025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(Executivo);</w:t>
      </w:r>
    </w:p>
    <w:p>
      <w:pPr>
        <w:pStyle w:val="BodyText"/>
        <w:spacing w:line="259" w:lineRule="auto" w:before="18"/>
        <w:ind w:left="595" w:right="2985"/>
      </w:pPr>
      <w:r>
        <w:rPr>
          <w:w w:val="80"/>
        </w:rPr>
        <w:t>2ª Discussão e 2ª Votação do Projeto de Lei Complementar nº 01/2025 (Executivo); </w:t>
      </w:r>
      <w:hyperlink r:id="rId14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https://engine.vaionline.com.br/uploads/grupo3/estab4/documentos/docs-4836.pdf</w:t>
        </w:r>
      </w:hyperlink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TRIBUNA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w w:val="80"/>
          <w:sz w:val="24"/>
        </w:rPr>
        <w:t>LIVRE:</w:t>
      </w:r>
      <w:r>
        <w:rPr>
          <w:rFonts w:ascii="Arial" w:hAnsi="Arial"/>
          <w:b/>
          <w:spacing w:val="-4"/>
          <w:sz w:val="24"/>
        </w:rPr>
        <w:t> </w:t>
      </w:r>
      <w:r>
        <w:rPr>
          <w:w w:val="80"/>
          <w:sz w:val="24"/>
        </w:rPr>
        <w:t>Ninguém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Inscrito</w:t>
      </w:r>
    </w:p>
    <w:p>
      <w:pPr>
        <w:spacing w:before="256"/>
        <w:ind w:left="312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PEQUENO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0"/>
          <w:sz w:val="24"/>
        </w:rPr>
        <w:t>EXPEDIENTE:</w:t>
      </w:r>
      <w:r>
        <w:rPr>
          <w:rFonts w:ascii="Arial" w:hAnsi="Arial"/>
          <w:b/>
          <w:spacing w:val="-1"/>
          <w:sz w:val="24"/>
        </w:rPr>
        <w:t> </w:t>
      </w:r>
      <w:r>
        <w:rPr>
          <w:w w:val="80"/>
          <w:sz w:val="24"/>
        </w:rPr>
        <w:t>Ninguém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Inscrito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spacing w:before="81"/>
        <w:ind w:left="312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80"/>
          <w:sz w:val="24"/>
        </w:rPr>
        <w:t>PESSOAIS:</w:t>
      </w:r>
      <w:r>
        <w:rPr>
          <w:rFonts w:ascii="Arial" w:hAnsi="Arial"/>
          <w:b/>
          <w:spacing w:val="6"/>
          <w:sz w:val="24"/>
        </w:rPr>
        <w:t> </w:t>
      </w:r>
      <w:r>
        <w:rPr>
          <w:w w:val="80"/>
          <w:sz w:val="24"/>
        </w:rPr>
        <w:t>Ninguém</w:t>
      </w:r>
      <w:r>
        <w:rPr>
          <w:spacing w:val="2"/>
          <w:sz w:val="24"/>
        </w:rPr>
        <w:t> </w:t>
      </w:r>
      <w:r>
        <w:rPr>
          <w:spacing w:val="-2"/>
          <w:w w:val="80"/>
          <w:sz w:val="24"/>
        </w:rPr>
        <w:t>Inscrito</w:t>
      </w:r>
    </w:p>
    <w:p>
      <w:pPr>
        <w:pStyle w:val="Heading1"/>
        <w:spacing w:before="260"/>
      </w:pPr>
      <w:r>
        <w:rPr>
          <w:w w:val="80"/>
        </w:rPr>
        <w:t>GRANDE</w:t>
      </w:r>
      <w:r>
        <w:rPr>
          <w:spacing w:val="-3"/>
        </w:rPr>
        <w:t> </w:t>
      </w:r>
      <w:r>
        <w:rPr>
          <w:spacing w:val="-2"/>
          <w:w w:val="90"/>
        </w:rPr>
        <w:t>EXPEDIENTE:</w:t>
      </w: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 w:before="136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13º SESSÃO ORDINÁRIA</w:t>
      </w:r>
    </w:p>
    <w:p>
      <w:pPr>
        <w:spacing w:line="251" w:lineRule="exact" w:before="0"/>
        <w:ind w:left="0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28/04/2025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3"/>
          <w:sz w:val="22"/>
        </w:rPr>
        <w:t> </w:t>
      </w:r>
      <w:r>
        <w:rPr>
          <w:w w:val="80"/>
          <w:sz w:val="22"/>
        </w:rPr>
        <w:t>DO</w:t>
      </w:r>
      <w:r>
        <w:rPr>
          <w:spacing w:val="3"/>
          <w:sz w:val="22"/>
        </w:rPr>
        <w:t> </w:t>
      </w:r>
      <w:r>
        <w:rPr>
          <w:w w:val="80"/>
          <w:sz w:val="22"/>
        </w:rPr>
        <w:t>PROCESSO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3"/>
          <w:sz w:val="22"/>
        </w:rPr>
        <w:t> </w:t>
      </w:r>
      <w:r>
        <w:rPr>
          <w:spacing w:val="-2"/>
          <w:w w:val="80"/>
          <w:sz w:val="22"/>
        </w:rPr>
        <w:t>DISCRIMINADO;</w:t>
      </w:r>
    </w:p>
    <w:p>
      <w:pPr>
        <w:pStyle w:val="BodyText"/>
        <w:spacing w:before="61"/>
        <w:rPr>
          <w:sz w:val="22"/>
        </w:rPr>
      </w:pPr>
    </w:p>
    <w:p>
      <w:pPr>
        <w:pStyle w:val="BodyText"/>
        <w:spacing w:line="259" w:lineRule="auto" w:before="1"/>
        <w:ind w:left="710" w:right="705"/>
        <w:jc w:val="both"/>
      </w:pPr>
      <w:r>
        <w:rPr>
          <w:w w:val="80"/>
        </w:rPr>
        <w:t>1 - Elaboração dos pareceres relativos ao Projeto de Lei Complementar nº 02/2025 (Executivo), que altera </w:t>
      </w:r>
      <w:r>
        <w:rPr>
          <w:w w:val="85"/>
        </w:rPr>
        <w:t>dispositivos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Lei</w:t>
      </w:r>
      <w:r>
        <w:rPr>
          <w:spacing w:val="-6"/>
          <w:w w:val="85"/>
        </w:rPr>
        <w:t> </w:t>
      </w:r>
      <w:r>
        <w:rPr>
          <w:w w:val="85"/>
        </w:rPr>
        <w:t>Complementar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7"/>
          <w:w w:val="85"/>
        </w:rPr>
        <w:t> </w:t>
      </w:r>
      <w:r>
        <w:rPr>
          <w:w w:val="85"/>
        </w:rPr>
        <w:t>20/2018,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11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dezembro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2018,</w:t>
      </w:r>
      <w:r>
        <w:rPr>
          <w:spacing w:val="-9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alteração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rol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serviços </w:t>
      </w:r>
      <w:r>
        <w:rPr>
          <w:w w:val="80"/>
        </w:rPr>
        <w:t>previstos</w:t>
      </w:r>
      <w:r>
        <w:rPr>
          <w:spacing w:val="-1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art.</w:t>
      </w:r>
      <w:r>
        <w:rPr>
          <w:spacing w:val="-1"/>
          <w:w w:val="80"/>
        </w:rPr>
        <w:t> </w:t>
      </w:r>
      <w:r>
        <w:rPr>
          <w:w w:val="80"/>
        </w:rPr>
        <w:t>609</w:t>
      </w:r>
      <w:r>
        <w:rPr>
          <w:spacing w:val="-4"/>
          <w:w w:val="80"/>
        </w:rPr>
        <w:t> </w:t>
      </w:r>
      <w:r>
        <w:rPr>
          <w:w w:val="80"/>
        </w:rPr>
        <w:t>da referida Lei,</w:t>
      </w:r>
      <w:r>
        <w:rPr>
          <w:spacing w:val="-1"/>
          <w:w w:val="80"/>
        </w:rPr>
        <w:t> </w:t>
      </w:r>
      <w:r>
        <w:rPr>
          <w:w w:val="80"/>
        </w:rPr>
        <w:t>incluindo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1"/>
          <w:w w:val="80"/>
        </w:rPr>
        <w:t> </w:t>
      </w:r>
      <w:r>
        <w:rPr>
          <w:w w:val="80"/>
        </w:rPr>
        <w:t>inciso</w:t>
      </w:r>
      <w:r>
        <w:rPr>
          <w:spacing w:val="-1"/>
          <w:w w:val="80"/>
        </w:rPr>
        <w:t> </w:t>
      </w:r>
      <w:r>
        <w:rPr>
          <w:w w:val="80"/>
        </w:rPr>
        <w:t>X</w:t>
      </w:r>
      <w:r>
        <w:rPr>
          <w:spacing w:val="-4"/>
          <w:w w:val="80"/>
        </w:rPr>
        <w:t> </w:t>
      </w:r>
      <w:r>
        <w:rPr>
          <w:w w:val="80"/>
        </w:rPr>
        <w:t>para contemplar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utilização</w:t>
      </w:r>
      <w:r>
        <w:rPr>
          <w:spacing w:val="-4"/>
          <w:w w:val="80"/>
        </w:rPr>
        <w:t> </w:t>
      </w:r>
      <w:r>
        <w:rPr>
          <w:w w:val="80"/>
        </w:rPr>
        <w:t>de escavadeira</w:t>
      </w:r>
      <w:r>
        <w:rPr>
          <w:spacing w:val="-1"/>
          <w:w w:val="80"/>
        </w:rPr>
        <w:t> </w:t>
      </w:r>
      <w:r>
        <w:rPr>
          <w:w w:val="80"/>
        </w:rPr>
        <w:t>hidráulica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atividades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infraestrutura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obras</w:t>
      </w:r>
      <w:r>
        <w:rPr>
          <w:spacing w:val="-5"/>
          <w:w w:val="85"/>
        </w:rPr>
        <w:t> </w:t>
      </w:r>
      <w:r>
        <w:rPr>
          <w:w w:val="85"/>
        </w:rPr>
        <w:t>públicas.</w:t>
      </w:r>
    </w:p>
    <w:p>
      <w:pPr>
        <w:pStyle w:val="BodyText"/>
        <w:spacing w:before="17"/>
      </w:pPr>
    </w:p>
    <w:p>
      <w:pPr>
        <w:spacing w:before="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08/04/2025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Heading1"/>
        <w:ind w:left="710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21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15"/>
      <w:footerReference w:type="default" r:id="rId16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82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673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799808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2025142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6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640221pt;width:290.5pt;height:39.25pt;mso-position-horizontal-relative:page;mso-position-vertical-relative:page;z-index:-15799296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6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2"/>
                        <w:sz w:val="22"/>
                      </w:rPr>
                      <w:t> 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2127250</wp:posOffset>
              </wp:positionH>
              <wp:positionV relativeFrom="page">
                <wp:posOffset>338330</wp:posOffset>
              </wp:positionV>
              <wp:extent cx="3688079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640221pt;width:290.4pt;height:39.25pt;mso-position-horizontal-relative:page;mso-position-vertical-relative:page;z-index:-1579776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867.pdf" TargetMode="External"/><Relationship Id="rId8" Type="http://schemas.openxmlformats.org/officeDocument/2006/relationships/hyperlink" Target="https://engine.vaionline.com.br/uploads/grupo3/estab4/documentos/docs-4855.pdf" TargetMode="External"/><Relationship Id="rId9" Type="http://schemas.openxmlformats.org/officeDocument/2006/relationships/hyperlink" Target="https://engine.vaionline.com.br/uploads/grupo3/estab4/documentos/docs-4862.pdf" TargetMode="External"/><Relationship Id="rId10" Type="http://schemas.openxmlformats.org/officeDocument/2006/relationships/hyperlink" Target="https://engine.vaionline.com.br/uploads/grupo3/estab4/documentos/docs-4863.pdf" TargetMode="External"/><Relationship Id="rId11" Type="http://schemas.openxmlformats.org/officeDocument/2006/relationships/hyperlink" Target="https://engine.vaionline.com.br/uploads/grupo3/estab4/documentos/docs-4864.pdf" TargetMode="External"/><Relationship Id="rId12" Type="http://schemas.openxmlformats.org/officeDocument/2006/relationships/hyperlink" Target="https://engine.vaionline.com.br/uploads/grupo3/estab4/documentos/docs-4866.pdf" TargetMode="External"/><Relationship Id="rId13" Type="http://schemas.openxmlformats.org/officeDocument/2006/relationships/hyperlink" Target="https://engine.vaionline.com.br/uploads/grupo3/estab4/documentos/docs-4843.pdf" TargetMode="External"/><Relationship Id="rId14" Type="http://schemas.openxmlformats.org/officeDocument/2006/relationships/hyperlink" Target="https://engine.vaionline.com.br/uploads/grupo3/estab4/documentos/docs-4836.pdf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2.jpeg"/><Relationship Id="rId18" Type="http://schemas.openxmlformats.org/officeDocument/2006/relationships/image" Target="media/image4.pn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2025-04-29T13:09:10Z</dcterms:created>
  <dcterms:modified xsi:type="dcterms:W3CDTF">2025-04-29T13:09:10Z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